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BF562" w14:textId="77777777" w:rsidR="002B077A" w:rsidRDefault="002B077A">
      <w:pPr>
        <w:adjustRightInd w:val="0"/>
        <w:snapToGrid w:val="0"/>
        <w:spacing w:line="360" w:lineRule="auto"/>
        <w:jc w:val="center"/>
        <w:rPr>
          <w:rFonts w:asciiTheme="minorEastAsia" w:eastAsiaTheme="minorEastAsia" w:hAnsiTheme="minorEastAsia" w:cs="Arial"/>
          <w:sz w:val="24"/>
        </w:rPr>
      </w:pPr>
      <w:bookmarkStart w:id="0" w:name="_GoBack"/>
      <w:bookmarkEnd w:id="0"/>
    </w:p>
    <w:p w14:paraId="24B15A44"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42E095E1"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3CE2B4E7"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6042C56D"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7C9CD9AF"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28580EC7"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553BBA0A"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6F5CF1FD"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5BBC6760"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65D6C070"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7AA17E79" w14:textId="77777777" w:rsidR="002B077A" w:rsidRDefault="00DB5093">
      <w:pPr>
        <w:adjustRightInd w:val="0"/>
        <w:snapToGrid w:val="0"/>
        <w:spacing w:line="360" w:lineRule="auto"/>
        <w:jc w:val="center"/>
        <w:rPr>
          <w:rFonts w:asciiTheme="minorEastAsia" w:eastAsiaTheme="minorEastAsia" w:hAnsiTheme="minorEastAsia" w:cs="Arial"/>
          <w:b/>
          <w:sz w:val="44"/>
        </w:rPr>
      </w:pPr>
      <w:r>
        <w:rPr>
          <w:rFonts w:asciiTheme="minorEastAsia" w:eastAsiaTheme="minorEastAsia" w:hAnsiTheme="minorEastAsia" w:cs="Arial" w:hint="eastAsia"/>
          <w:b/>
          <w:sz w:val="44"/>
        </w:rPr>
        <w:t>摩根士丹利景气智选混合型</w:t>
      </w:r>
    </w:p>
    <w:p w14:paraId="207DD67B" w14:textId="77777777" w:rsidR="002B077A" w:rsidRDefault="00DB5093">
      <w:pPr>
        <w:adjustRightInd w:val="0"/>
        <w:snapToGrid w:val="0"/>
        <w:spacing w:line="360" w:lineRule="auto"/>
        <w:jc w:val="center"/>
        <w:rPr>
          <w:rFonts w:asciiTheme="minorEastAsia" w:eastAsiaTheme="minorEastAsia" w:hAnsiTheme="minorEastAsia" w:cs="Arial"/>
          <w:b/>
          <w:sz w:val="44"/>
        </w:rPr>
      </w:pPr>
      <w:r>
        <w:rPr>
          <w:rFonts w:asciiTheme="minorEastAsia" w:eastAsiaTheme="minorEastAsia" w:hAnsiTheme="minorEastAsia" w:cs="Arial" w:hint="eastAsia"/>
          <w:b/>
          <w:sz w:val="44"/>
        </w:rPr>
        <w:t>证券投资基金</w:t>
      </w:r>
    </w:p>
    <w:p w14:paraId="1699DD2A" w14:textId="4200CBF2" w:rsidR="002B077A" w:rsidRDefault="00DB5093">
      <w:pPr>
        <w:adjustRightInd w:val="0"/>
        <w:snapToGrid w:val="0"/>
        <w:spacing w:line="360" w:lineRule="auto"/>
        <w:jc w:val="center"/>
        <w:rPr>
          <w:rFonts w:asciiTheme="minorEastAsia" w:eastAsiaTheme="minorEastAsia" w:hAnsiTheme="minorEastAsia" w:cs="Arial"/>
          <w:b/>
          <w:sz w:val="44"/>
        </w:rPr>
      </w:pPr>
      <w:r>
        <w:rPr>
          <w:rFonts w:asciiTheme="minorEastAsia" w:eastAsiaTheme="minorEastAsia" w:hAnsiTheme="minorEastAsia" w:cs="Arial" w:hint="eastAsia"/>
          <w:b/>
          <w:sz w:val="44"/>
        </w:rPr>
        <w:t>托管协议</w:t>
      </w:r>
    </w:p>
    <w:p w14:paraId="27C65BBE"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7FBA466F"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282D1C4B"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65A32869"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3F5222B4"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4D0A3612"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1BC932D9" w14:textId="77777777" w:rsidR="002B077A" w:rsidRDefault="00DB5093">
      <w:pPr>
        <w:adjustRightInd w:val="0"/>
        <w:snapToGrid w:val="0"/>
        <w:spacing w:line="360" w:lineRule="auto"/>
        <w:jc w:val="center"/>
        <w:rPr>
          <w:rFonts w:asciiTheme="minorEastAsia" w:eastAsiaTheme="minorEastAsia" w:hAnsiTheme="minorEastAsia" w:cs="Arial"/>
          <w:b/>
          <w:bCs/>
          <w:sz w:val="28"/>
        </w:rPr>
      </w:pPr>
      <w:r>
        <w:rPr>
          <w:rFonts w:asciiTheme="minorEastAsia" w:eastAsiaTheme="minorEastAsia" w:hAnsiTheme="minorEastAsia" w:cs="Arial" w:hint="eastAsia"/>
          <w:b/>
          <w:bCs/>
          <w:sz w:val="28"/>
        </w:rPr>
        <w:t xml:space="preserve">     基金管理人：摩根士丹利基金管理（中国）有限公司</w:t>
      </w:r>
    </w:p>
    <w:p w14:paraId="10B06E4D" w14:textId="77777777" w:rsidR="002B077A" w:rsidRDefault="00DB5093">
      <w:pPr>
        <w:adjustRightInd w:val="0"/>
        <w:snapToGrid w:val="0"/>
        <w:spacing w:line="360" w:lineRule="auto"/>
        <w:jc w:val="center"/>
        <w:rPr>
          <w:rFonts w:asciiTheme="minorEastAsia" w:eastAsiaTheme="minorEastAsia" w:hAnsiTheme="minorEastAsia" w:cs="Arial"/>
          <w:b/>
          <w:bCs/>
          <w:sz w:val="28"/>
        </w:rPr>
      </w:pPr>
      <w:r>
        <w:rPr>
          <w:rFonts w:asciiTheme="minorEastAsia" w:eastAsiaTheme="minorEastAsia" w:hAnsiTheme="minorEastAsia" w:cs="Arial" w:hint="eastAsia"/>
          <w:b/>
          <w:bCs/>
          <w:sz w:val="28"/>
        </w:rPr>
        <w:t>基金托管人：中国建设银行股份有限公司</w:t>
      </w:r>
    </w:p>
    <w:p w14:paraId="5B842DAD"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78D93E67"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413BFF96" w14:textId="77777777" w:rsidR="002B077A" w:rsidRDefault="002B077A">
      <w:pPr>
        <w:adjustRightInd w:val="0"/>
        <w:snapToGrid w:val="0"/>
        <w:spacing w:line="360" w:lineRule="auto"/>
        <w:jc w:val="center"/>
        <w:rPr>
          <w:rFonts w:asciiTheme="minorEastAsia" w:eastAsiaTheme="minorEastAsia" w:hAnsiTheme="minorEastAsia" w:cs="Arial"/>
          <w:sz w:val="24"/>
        </w:rPr>
      </w:pPr>
    </w:p>
    <w:p w14:paraId="73A45DD4" w14:textId="77777777" w:rsidR="002B077A" w:rsidRDefault="002B077A">
      <w:pPr>
        <w:adjustRightInd w:val="0"/>
        <w:snapToGrid w:val="0"/>
        <w:spacing w:line="360" w:lineRule="auto"/>
        <w:jc w:val="center"/>
        <w:rPr>
          <w:rFonts w:asciiTheme="minorEastAsia" w:eastAsiaTheme="minorEastAsia" w:hAnsiTheme="minorEastAsia" w:cs="Arial"/>
          <w:bCs/>
          <w:sz w:val="24"/>
        </w:rPr>
        <w:sectPr w:rsidR="002B077A">
          <w:footerReference w:type="even" r:id="rId7"/>
          <w:footerReference w:type="default" r:id="rId8"/>
          <w:pgSz w:w="11906" w:h="16838"/>
          <w:pgMar w:top="1418" w:right="1701" w:bottom="1418" w:left="1701" w:header="851" w:footer="992" w:gutter="0"/>
          <w:cols w:space="425"/>
          <w:docGrid w:type="lines" w:linePitch="312"/>
        </w:sectPr>
      </w:pPr>
    </w:p>
    <w:p w14:paraId="03B071AD" w14:textId="77777777" w:rsidR="002B077A" w:rsidRDefault="00DB5093">
      <w:pPr>
        <w:spacing w:line="360" w:lineRule="auto"/>
        <w:jc w:val="center"/>
        <w:rPr>
          <w:rFonts w:asciiTheme="minorEastAsia" w:eastAsiaTheme="minorEastAsia" w:hAnsiTheme="minorEastAsia"/>
          <w:b/>
          <w:bCs/>
          <w:sz w:val="30"/>
        </w:rPr>
      </w:pPr>
      <w:r>
        <w:rPr>
          <w:rFonts w:asciiTheme="minorEastAsia" w:eastAsiaTheme="minorEastAsia" w:hAnsiTheme="minorEastAsia" w:hint="eastAsia"/>
          <w:b/>
          <w:bCs/>
          <w:sz w:val="30"/>
        </w:rPr>
        <w:lastRenderedPageBreak/>
        <w:t>目    录</w:t>
      </w:r>
    </w:p>
    <w:p w14:paraId="23059D71" w14:textId="2B5602D7" w:rsidR="002B077A" w:rsidRDefault="00DB5093">
      <w:pPr>
        <w:pStyle w:val="23"/>
        <w:tabs>
          <w:tab w:val="right" w:leader="dot" w:pos="8494"/>
        </w:tabs>
        <w:spacing w:line="360" w:lineRule="auto"/>
        <w:rPr>
          <w:rFonts w:asciiTheme="minorEastAsia" w:eastAsiaTheme="minorEastAsia" w:hAnsiTheme="minorEastAsia" w:cstheme="minorBidi"/>
          <w:noProof/>
          <w:szCs w:val="22"/>
        </w:rPr>
      </w:pPr>
      <w:r>
        <w:rPr>
          <w:rFonts w:asciiTheme="minorEastAsia" w:eastAsiaTheme="minorEastAsia" w:hAnsiTheme="minorEastAsia" w:hint="eastAsia"/>
          <w:sz w:val="24"/>
        </w:rPr>
        <w:fldChar w:fldCharType="begin"/>
      </w:r>
      <w:r>
        <w:rPr>
          <w:rFonts w:asciiTheme="minorEastAsia" w:eastAsiaTheme="minorEastAsia" w:hAnsiTheme="minorEastAsia" w:hint="eastAsia"/>
          <w:sz w:val="24"/>
        </w:rPr>
        <w:instrText xml:space="preserve"> TOC \o "1-2" \h \z </w:instrText>
      </w:r>
      <w:r>
        <w:rPr>
          <w:rFonts w:asciiTheme="minorEastAsia" w:eastAsiaTheme="minorEastAsia" w:hAnsiTheme="minorEastAsia" w:hint="eastAsia"/>
          <w:sz w:val="24"/>
        </w:rPr>
        <w:fldChar w:fldCharType="separate"/>
      </w:r>
      <w:hyperlink w:anchor="_Toc520904534" w:history="1">
        <w:r w:rsidR="002B077A">
          <w:rPr>
            <w:rStyle w:val="af8"/>
            <w:rFonts w:asciiTheme="minorEastAsia" w:eastAsiaTheme="minorEastAsia" w:hAnsiTheme="minorEastAsia"/>
            <w:noProof/>
          </w:rPr>
          <w:t>一、基金托管协议当事人</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_Toc520904534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sidR="002C7956">
          <w:rPr>
            <w:rFonts w:asciiTheme="minorEastAsia" w:eastAsiaTheme="minorEastAsia" w:hAnsiTheme="minorEastAsia"/>
            <w:noProof/>
          </w:rPr>
          <w:t>4</w:t>
        </w:r>
        <w:r w:rsidR="002B077A">
          <w:rPr>
            <w:rFonts w:asciiTheme="minorEastAsia" w:eastAsiaTheme="minorEastAsia" w:hAnsiTheme="minorEastAsia"/>
            <w:noProof/>
          </w:rPr>
          <w:fldChar w:fldCharType="end"/>
        </w:r>
      </w:hyperlink>
    </w:p>
    <w:p w14:paraId="2975B63E" w14:textId="4F011A46"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35" w:history="1">
        <w:r w:rsidR="002B077A">
          <w:rPr>
            <w:rStyle w:val="af8"/>
            <w:rFonts w:asciiTheme="minorEastAsia" w:eastAsiaTheme="minorEastAsia" w:hAnsiTheme="minorEastAsia"/>
            <w:noProof/>
          </w:rPr>
          <w:t>二、基金托管协议的依据、目的和原则</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_Toc520904535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5</w:t>
        </w:r>
        <w:r w:rsidR="002B077A">
          <w:rPr>
            <w:rFonts w:asciiTheme="minorEastAsia" w:eastAsiaTheme="minorEastAsia" w:hAnsiTheme="minorEastAsia"/>
            <w:noProof/>
          </w:rPr>
          <w:fldChar w:fldCharType="end"/>
        </w:r>
      </w:hyperlink>
    </w:p>
    <w:p w14:paraId="23DD3939" w14:textId="289F2153"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36" w:history="1">
        <w:r w:rsidR="002B077A">
          <w:rPr>
            <w:rStyle w:val="af8"/>
            <w:rFonts w:asciiTheme="minorEastAsia" w:eastAsiaTheme="minorEastAsia" w:hAnsiTheme="minorEastAsia"/>
            <w:noProof/>
          </w:rPr>
          <w:t>三、基金托管人对基金管理人的业务监督和核查</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_Toc520904536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6</w:t>
        </w:r>
        <w:r w:rsidR="002B077A">
          <w:rPr>
            <w:rFonts w:asciiTheme="minorEastAsia" w:eastAsiaTheme="minorEastAsia" w:hAnsiTheme="minorEastAsia"/>
            <w:noProof/>
          </w:rPr>
          <w:fldChar w:fldCharType="end"/>
        </w:r>
      </w:hyperlink>
    </w:p>
    <w:p w14:paraId="78E90B3B" w14:textId="31AEE528"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37" w:history="1">
        <w:r w:rsidR="002B077A">
          <w:rPr>
            <w:rStyle w:val="af8"/>
            <w:rFonts w:asciiTheme="minorEastAsia" w:eastAsiaTheme="minorEastAsia" w:hAnsiTheme="minorEastAsia"/>
            <w:noProof/>
          </w:rPr>
          <w:t>四、基金管理人对基金托管人的业务核查</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_Toc520904537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11</w:t>
        </w:r>
        <w:r w:rsidR="002B077A">
          <w:rPr>
            <w:rFonts w:asciiTheme="minorEastAsia" w:eastAsiaTheme="minorEastAsia" w:hAnsiTheme="minorEastAsia"/>
            <w:noProof/>
          </w:rPr>
          <w:fldChar w:fldCharType="end"/>
        </w:r>
      </w:hyperlink>
    </w:p>
    <w:p w14:paraId="1F60DA3C" w14:textId="37276D0D"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38" w:history="1">
        <w:r w:rsidR="002B077A">
          <w:rPr>
            <w:rStyle w:val="af8"/>
            <w:rFonts w:asciiTheme="minorEastAsia" w:eastAsiaTheme="minorEastAsia" w:hAnsiTheme="minorEastAsia"/>
            <w:noProof/>
          </w:rPr>
          <w:t>五、基金财产的保管</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_Toc520904538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12</w:t>
        </w:r>
        <w:r w:rsidR="002B077A">
          <w:rPr>
            <w:rFonts w:asciiTheme="minorEastAsia" w:eastAsiaTheme="minorEastAsia" w:hAnsiTheme="minorEastAsia"/>
            <w:noProof/>
          </w:rPr>
          <w:fldChar w:fldCharType="end"/>
        </w:r>
      </w:hyperlink>
    </w:p>
    <w:p w14:paraId="61A0F6C1" w14:textId="5B2FF9E7"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39" w:history="1">
        <w:r w:rsidR="002B077A">
          <w:rPr>
            <w:rStyle w:val="af8"/>
            <w:rFonts w:asciiTheme="minorEastAsia" w:eastAsiaTheme="minorEastAsia" w:hAnsiTheme="minorEastAsia"/>
            <w:noProof/>
          </w:rPr>
          <w:t>六、指令的发送、确认及执行</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_Toc520904539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15</w:t>
        </w:r>
        <w:r w:rsidR="002B077A">
          <w:rPr>
            <w:rFonts w:asciiTheme="minorEastAsia" w:eastAsiaTheme="minorEastAsia" w:hAnsiTheme="minorEastAsia"/>
            <w:noProof/>
          </w:rPr>
          <w:fldChar w:fldCharType="end"/>
        </w:r>
      </w:hyperlink>
    </w:p>
    <w:p w14:paraId="77272479" w14:textId="518620AA"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40" w:history="1">
        <w:r w:rsidR="002B077A">
          <w:rPr>
            <w:rStyle w:val="af8"/>
            <w:rFonts w:asciiTheme="minorEastAsia" w:eastAsiaTheme="minorEastAsia" w:hAnsiTheme="minorEastAsia"/>
            <w:noProof/>
          </w:rPr>
          <w:t>七、交易及清算交收安排</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_Toc520904540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17</w:t>
        </w:r>
        <w:r w:rsidR="002B077A">
          <w:rPr>
            <w:rFonts w:asciiTheme="minorEastAsia" w:eastAsiaTheme="minorEastAsia" w:hAnsiTheme="minorEastAsia"/>
            <w:noProof/>
          </w:rPr>
          <w:fldChar w:fldCharType="end"/>
        </w:r>
      </w:hyperlink>
    </w:p>
    <w:p w14:paraId="33AF3869" w14:textId="12B82A95"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41" w:history="1">
        <w:r w:rsidR="002B077A">
          <w:rPr>
            <w:rStyle w:val="af8"/>
            <w:rFonts w:asciiTheme="minorEastAsia" w:eastAsiaTheme="minorEastAsia" w:hAnsiTheme="minorEastAsia"/>
            <w:noProof/>
          </w:rPr>
          <w:t>八、基金资产净值计算和会计核算</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_Toc520904541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22</w:t>
        </w:r>
        <w:r w:rsidR="002B077A">
          <w:rPr>
            <w:rFonts w:asciiTheme="minorEastAsia" w:eastAsiaTheme="minorEastAsia" w:hAnsiTheme="minorEastAsia"/>
            <w:noProof/>
          </w:rPr>
          <w:fldChar w:fldCharType="end"/>
        </w:r>
      </w:hyperlink>
    </w:p>
    <w:p w14:paraId="6413D0C2" w14:textId="298290FB"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42" w:history="1">
        <w:r w:rsidR="002B077A">
          <w:rPr>
            <w:rStyle w:val="af8"/>
            <w:rFonts w:asciiTheme="minorEastAsia" w:eastAsiaTheme="minorEastAsia" w:hAnsiTheme="minorEastAsia"/>
            <w:noProof/>
          </w:rPr>
          <w:t>九、基金收益分配</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_Toc520904542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27</w:t>
        </w:r>
        <w:r w:rsidR="002B077A">
          <w:rPr>
            <w:rFonts w:asciiTheme="minorEastAsia" w:eastAsiaTheme="minorEastAsia" w:hAnsiTheme="minorEastAsia"/>
            <w:noProof/>
          </w:rPr>
          <w:fldChar w:fldCharType="end"/>
        </w:r>
      </w:hyperlink>
    </w:p>
    <w:p w14:paraId="673CA0A7" w14:textId="65CEC3A0"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43" w:history="1">
        <w:r w:rsidR="002B077A">
          <w:rPr>
            <w:rStyle w:val="af8"/>
            <w:rFonts w:asciiTheme="minorEastAsia" w:eastAsiaTheme="minorEastAsia" w:hAnsiTheme="minorEastAsia"/>
            <w:noProof/>
          </w:rPr>
          <w:t>十、基金信息披露</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_Toc520904543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28</w:t>
        </w:r>
        <w:r w:rsidR="002B077A">
          <w:rPr>
            <w:rFonts w:asciiTheme="minorEastAsia" w:eastAsiaTheme="minorEastAsia" w:hAnsiTheme="minorEastAsia"/>
            <w:noProof/>
          </w:rPr>
          <w:fldChar w:fldCharType="end"/>
        </w:r>
      </w:hyperlink>
    </w:p>
    <w:p w14:paraId="1BEC2261" w14:textId="04D5ED81"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44" w:history="1">
        <w:r w:rsidR="002B077A">
          <w:rPr>
            <w:rStyle w:val="af8"/>
            <w:rFonts w:asciiTheme="minorEastAsia" w:eastAsiaTheme="minorEastAsia" w:hAnsiTheme="minorEastAsia"/>
            <w:noProof/>
          </w:rPr>
          <w:t>十一、基金费用</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_Toc520904544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30</w:t>
        </w:r>
        <w:r w:rsidR="002B077A">
          <w:rPr>
            <w:rFonts w:asciiTheme="minorEastAsia" w:eastAsiaTheme="minorEastAsia" w:hAnsiTheme="minorEastAsia"/>
            <w:noProof/>
          </w:rPr>
          <w:fldChar w:fldCharType="end"/>
        </w:r>
      </w:hyperlink>
    </w:p>
    <w:p w14:paraId="4CEF9271" w14:textId="46EB0C1F"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45" w:history="1">
        <w:r w:rsidR="002B077A">
          <w:rPr>
            <w:rStyle w:val="af8"/>
            <w:rFonts w:asciiTheme="minorEastAsia" w:eastAsiaTheme="minorEastAsia" w:hAnsiTheme="minorEastAsia"/>
            <w:noProof/>
          </w:rPr>
          <w:t>十二、基金份额持有人名册的保管</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_Toc520904545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32</w:t>
        </w:r>
        <w:r w:rsidR="002B077A">
          <w:rPr>
            <w:rFonts w:asciiTheme="minorEastAsia" w:eastAsiaTheme="minorEastAsia" w:hAnsiTheme="minorEastAsia"/>
            <w:noProof/>
          </w:rPr>
          <w:fldChar w:fldCharType="end"/>
        </w:r>
      </w:hyperlink>
    </w:p>
    <w:p w14:paraId="1DD1E387" w14:textId="330D4D5C"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46" w:history="1">
        <w:r w:rsidR="002B077A">
          <w:rPr>
            <w:rStyle w:val="af8"/>
            <w:rFonts w:asciiTheme="minorEastAsia" w:eastAsiaTheme="minorEastAsia" w:hAnsiTheme="minorEastAsia"/>
            <w:noProof/>
          </w:rPr>
          <w:t>十三、基金有关文件档案的保存</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_Toc520904546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33</w:t>
        </w:r>
        <w:r w:rsidR="002B077A">
          <w:rPr>
            <w:rFonts w:asciiTheme="minorEastAsia" w:eastAsiaTheme="minorEastAsia" w:hAnsiTheme="minorEastAsia"/>
            <w:noProof/>
          </w:rPr>
          <w:fldChar w:fldCharType="end"/>
        </w:r>
      </w:hyperlink>
    </w:p>
    <w:p w14:paraId="181269CB" w14:textId="424647C1"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47" w:history="1">
        <w:r w:rsidR="002B077A">
          <w:rPr>
            <w:rStyle w:val="af8"/>
            <w:rFonts w:asciiTheme="minorEastAsia" w:eastAsiaTheme="minorEastAsia" w:hAnsiTheme="minorEastAsia"/>
            <w:noProof/>
          </w:rPr>
          <w:t>十四、基金管理人和基金托管人的更换</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_Toc520904547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34</w:t>
        </w:r>
        <w:r w:rsidR="002B077A">
          <w:rPr>
            <w:rFonts w:asciiTheme="minorEastAsia" w:eastAsiaTheme="minorEastAsia" w:hAnsiTheme="minorEastAsia"/>
            <w:noProof/>
          </w:rPr>
          <w:fldChar w:fldCharType="end"/>
        </w:r>
      </w:hyperlink>
    </w:p>
    <w:p w14:paraId="1571499F" w14:textId="0FE74151"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48" w:history="1">
        <w:r w:rsidR="002B077A">
          <w:rPr>
            <w:rStyle w:val="af8"/>
            <w:rFonts w:asciiTheme="minorEastAsia" w:eastAsiaTheme="minorEastAsia" w:hAnsiTheme="minorEastAsia"/>
            <w:noProof/>
          </w:rPr>
          <w:t>十五、禁止行为</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_Toc520904548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36</w:t>
        </w:r>
        <w:r w:rsidR="002B077A">
          <w:rPr>
            <w:rFonts w:asciiTheme="minorEastAsia" w:eastAsiaTheme="minorEastAsia" w:hAnsiTheme="minorEastAsia"/>
            <w:noProof/>
          </w:rPr>
          <w:fldChar w:fldCharType="end"/>
        </w:r>
      </w:hyperlink>
    </w:p>
    <w:p w14:paraId="36220711" w14:textId="5C1D58D8"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49" w:history="1">
        <w:r w:rsidR="002B077A">
          <w:rPr>
            <w:rStyle w:val="af8"/>
            <w:rFonts w:asciiTheme="minorEastAsia" w:eastAsiaTheme="minorEastAsia" w:hAnsiTheme="minorEastAsia"/>
            <w:noProof/>
          </w:rPr>
          <w:t>十六、托管协议的变更、终止与基金财产的清算</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_Toc520904549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37</w:t>
        </w:r>
        <w:r w:rsidR="002B077A">
          <w:rPr>
            <w:rFonts w:asciiTheme="minorEastAsia" w:eastAsiaTheme="minorEastAsia" w:hAnsiTheme="minorEastAsia"/>
            <w:noProof/>
          </w:rPr>
          <w:fldChar w:fldCharType="end"/>
        </w:r>
      </w:hyperlink>
    </w:p>
    <w:p w14:paraId="5275FAC1" w14:textId="577605BF"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50" w:history="1">
        <w:r w:rsidR="002B077A">
          <w:rPr>
            <w:rStyle w:val="af8"/>
            <w:rFonts w:asciiTheme="minorEastAsia" w:eastAsiaTheme="minorEastAsia" w:hAnsiTheme="minorEastAsia"/>
            <w:noProof/>
          </w:rPr>
          <w:t>十七、违约责任</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_Toc520904550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39</w:t>
        </w:r>
        <w:r w:rsidR="002B077A">
          <w:rPr>
            <w:rFonts w:asciiTheme="minorEastAsia" w:eastAsiaTheme="minorEastAsia" w:hAnsiTheme="minorEastAsia"/>
            <w:noProof/>
          </w:rPr>
          <w:fldChar w:fldCharType="end"/>
        </w:r>
      </w:hyperlink>
    </w:p>
    <w:p w14:paraId="1321A751" w14:textId="2C79C216"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51" w:history="1">
        <w:r w:rsidR="002B077A">
          <w:rPr>
            <w:rStyle w:val="af8"/>
            <w:rFonts w:asciiTheme="minorEastAsia" w:eastAsiaTheme="minorEastAsia" w:hAnsiTheme="minorEastAsia"/>
            <w:noProof/>
          </w:rPr>
          <w:t>十八、争议解决方式</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_Toc520904551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40</w:t>
        </w:r>
        <w:r w:rsidR="002B077A">
          <w:rPr>
            <w:rFonts w:asciiTheme="minorEastAsia" w:eastAsiaTheme="minorEastAsia" w:hAnsiTheme="minorEastAsia"/>
            <w:noProof/>
          </w:rPr>
          <w:fldChar w:fldCharType="end"/>
        </w:r>
      </w:hyperlink>
    </w:p>
    <w:p w14:paraId="0D1C82CE" w14:textId="5EC0F513"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52" w:history="1">
        <w:r w:rsidR="002B077A">
          <w:rPr>
            <w:rStyle w:val="af8"/>
            <w:rFonts w:asciiTheme="minorEastAsia" w:eastAsiaTheme="minorEastAsia" w:hAnsiTheme="minorEastAsia"/>
            <w:noProof/>
          </w:rPr>
          <w:t>十九、托管协议的效力</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_Toc520904552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41</w:t>
        </w:r>
        <w:r w:rsidR="002B077A">
          <w:rPr>
            <w:rFonts w:asciiTheme="minorEastAsia" w:eastAsiaTheme="minorEastAsia" w:hAnsiTheme="minorEastAsia"/>
            <w:noProof/>
          </w:rPr>
          <w:fldChar w:fldCharType="end"/>
        </w:r>
      </w:hyperlink>
    </w:p>
    <w:p w14:paraId="19D2CB0A" w14:textId="69D84FA0"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53" w:history="1">
        <w:r w:rsidR="002B077A">
          <w:rPr>
            <w:rStyle w:val="af8"/>
            <w:rFonts w:asciiTheme="minorEastAsia" w:eastAsiaTheme="minorEastAsia" w:hAnsiTheme="minorEastAsia"/>
            <w:noProof/>
          </w:rPr>
          <w:t>二十、其他事项</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_Toc520904553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42</w:t>
        </w:r>
        <w:r w:rsidR="002B077A">
          <w:rPr>
            <w:rFonts w:asciiTheme="minorEastAsia" w:eastAsiaTheme="minorEastAsia" w:hAnsiTheme="minorEastAsia"/>
            <w:noProof/>
          </w:rPr>
          <w:fldChar w:fldCharType="end"/>
        </w:r>
      </w:hyperlink>
    </w:p>
    <w:p w14:paraId="46C40CEF" w14:textId="2E9A318F" w:rsidR="002B077A" w:rsidRDefault="002C7956">
      <w:pPr>
        <w:pStyle w:val="23"/>
        <w:tabs>
          <w:tab w:val="right" w:leader="dot" w:pos="8494"/>
        </w:tabs>
        <w:spacing w:line="360" w:lineRule="auto"/>
        <w:rPr>
          <w:rFonts w:asciiTheme="minorEastAsia" w:eastAsiaTheme="minorEastAsia" w:hAnsiTheme="minorEastAsia" w:cstheme="minorBidi"/>
          <w:noProof/>
          <w:szCs w:val="22"/>
        </w:rPr>
      </w:pPr>
      <w:hyperlink w:anchor="_Toc520904554" w:history="1">
        <w:r w:rsidR="002B077A">
          <w:rPr>
            <w:rStyle w:val="af8"/>
            <w:rFonts w:asciiTheme="minorEastAsia" w:eastAsiaTheme="minorEastAsia" w:hAnsiTheme="minorEastAsia"/>
            <w:noProof/>
          </w:rPr>
          <w:t>二十一、托管协议的签订</w:t>
        </w:r>
        <w:r w:rsidR="002B077A">
          <w:rPr>
            <w:rFonts w:asciiTheme="minorEastAsia" w:eastAsiaTheme="minorEastAsia" w:hAnsiTheme="minorEastAsia"/>
            <w:noProof/>
          </w:rPr>
          <w:tab/>
        </w:r>
        <w:r w:rsidR="002B077A">
          <w:rPr>
            <w:rFonts w:asciiTheme="minorEastAsia" w:eastAsiaTheme="minorEastAsia" w:hAnsiTheme="minorEastAsia"/>
            <w:noProof/>
          </w:rPr>
          <w:fldChar w:fldCharType="begin"/>
        </w:r>
        <w:r w:rsidR="002B077A">
          <w:rPr>
            <w:rFonts w:asciiTheme="minorEastAsia" w:eastAsiaTheme="minorEastAsia" w:hAnsiTheme="minorEastAsia"/>
            <w:noProof/>
          </w:rPr>
          <w:instrText xml:space="preserve"> PAGEREF _Toc520904554 \h </w:instrText>
        </w:r>
        <w:r w:rsidR="002B077A">
          <w:rPr>
            <w:rFonts w:asciiTheme="minorEastAsia" w:eastAsiaTheme="minorEastAsia" w:hAnsiTheme="minorEastAsia"/>
            <w:noProof/>
          </w:rPr>
        </w:r>
        <w:r w:rsidR="002B077A">
          <w:rPr>
            <w:rFonts w:asciiTheme="minorEastAsia" w:eastAsiaTheme="minorEastAsia" w:hAnsiTheme="minorEastAsia"/>
            <w:noProof/>
          </w:rPr>
          <w:fldChar w:fldCharType="separate"/>
        </w:r>
        <w:r>
          <w:rPr>
            <w:rFonts w:asciiTheme="minorEastAsia" w:eastAsiaTheme="minorEastAsia" w:hAnsiTheme="minorEastAsia"/>
            <w:noProof/>
          </w:rPr>
          <w:t>43</w:t>
        </w:r>
        <w:r w:rsidR="002B077A">
          <w:rPr>
            <w:rFonts w:asciiTheme="minorEastAsia" w:eastAsiaTheme="minorEastAsia" w:hAnsiTheme="minorEastAsia"/>
            <w:noProof/>
          </w:rPr>
          <w:fldChar w:fldCharType="end"/>
        </w:r>
      </w:hyperlink>
    </w:p>
    <w:p w14:paraId="6A30FF8B" w14:textId="77777777" w:rsidR="002B077A" w:rsidRDefault="00DB5093">
      <w:pPr>
        <w:spacing w:line="360" w:lineRule="auto"/>
        <w:rPr>
          <w:rFonts w:asciiTheme="minorEastAsia" w:eastAsiaTheme="minorEastAsia" w:hAnsiTheme="minorEastAsia"/>
          <w:sz w:val="24"/>
        </w:rPr>
      </w:pPr>
      <w:r>
        <w:rPr>
          <w:rFonts w:asciiTheme="minorEastAsia" w:eastAsiaTheme="minorEastAsia" w:hAnsiTheme="minorEastAsia" w:hint="eastAsia"/>
          <w:sz w:val="24"/>
        </w:rPr>
        <w:fldChar w:fldCharType="end"/>
      </w:r>
    </w:p>
    <w:p w14:paraId="74C865B6" w14:textId="77777777" w:rsidR="002B077A" w:rsidRDefault="00DB5093">
      <w:pPr>
        <w:widowControl/>
        <w:spacing w:line="360" w:lineRule="auto"/>
        <w:jc w:val="left"/>
        <w:rPr>
          <w:rFonts w:asciiTheme="minorEastAsia" w:eastAsiaTheme="minorEastAsia" w:hAnsiTheme="minorEastAsia"/>
          <w:sz w:val="24"/>
        </w:rPr>
      </w:pPr>
      <w:r>
        <w:rPr>
          <w:rFonts w:asciiTheme="minorEastAsia" w:eastAsiaTheme="minorEastAsia" w:hAnsiTheme="minorEastAsia"/>
          <w:sz w:val="24"/>
        </w:rPr>
        <w:br w:type="page"/>
      </w:r>
    </w:p>
    <w:p w14:paraId="46F2FEBD" w14:textId="77777777" w:rsidR="002B077A" w:rsidRDefault="002B077A">
      <w:pPr>
        <w:spacing w:line="360" w:lineRule="auto"/>
        <w:rPr>
          <w:rFonts w:asciiTheme="minorEastAsia" w:eastAsiaTheme="minorEastAsia" w:hAnsiTheme="minorEastAsia"/>
          <w:sz w:val="24"/>
        </w:rPr>
      </w:pPr>
    </w:p>
    <w:p w14:paraId="732369C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鉴于摩根士丹利基金管理（中国）有限公司系一家依照中国法律合法成立并有效存续的有限责任公司，按照相关法律法规的规定具备担任基金管理人的资格和能力，拟募集发行摩根士丹利景气智选混合型证券投资基金；</w:t>
      </w:r>
    </w:p>
    <w:p w14:paraId="309EF92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鉴于中国建设银行股份有限公司系一家依照中国法律合法成立并有效存续的银行，按照相关法律法规的规定具备担任基金托管人的资格和能力；</w:t>
      </w:r>
    </w:p>
    <w:p w14:paraId="5DC9F83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鉴于摩根士丹利基金管理（中国）有限公司拟担任摩根士丹利景气智选混合型证券投资基金的基金管理人，中国建设银行股份有限公司拟担任摩根士丹利景气智选混合型证券投资基金的基金托管人；</w:t>
      </w:r>
    </w:p>
    <w:p w14:paraId="2843E05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为明确摩根士丹利景气智选混合型证券投资基金的基金管理人和基金托管人之间的权利义务关系，特制订本托管协议；</w:t>
      </w:r>
    </w:p>
    <w:p w14:paraId="4F01862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除非另有约定，《摩根士丹利景气智选混合型证券投资基金基金合同》(以下简称“基金合同”)中定义的术语在用于本托管协议时应具有相同的含义；若有抵触应以《基金合同》为准，并依其条款解释。</w:t>
      </w:r>
    </w:p>
    <w:p w14:paraId="088544C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若本基金实施</w:t>
      </w:r>
      <w:proofErr w:type="gramStart"/>
      <w:r>
        <w:rPr>
          <w:rFonts w:asciiTheme="minorEastAsia" w:eastAsiaTheme="minorEastAsia" w:hAnsiTheme="minorEastAsia" w:cs="Arial" w:hint="eastAsia"/>
          <w:szCs w:val="21"/>
        </w:rPr>
        <w:t>侧袋机制</w:t>
      </w:r>
      <w:proofErr w:type="gramEnd"/>
      <w:r>
        <w:rPr>
          <w:rFonts w:asciiTheme="minorEastAsia" w:eastAsiaTheme="minorEastAsia" w:hAnsiTheme="minorEastAsia" w:cs="Arial" w:hint="eastAsia"/>
          <w:szCs w:val="21"/>
        </w:rPr>
        <w:t>的，</w:t>
      </w:r>
      <w:proofErr w:type="gramStart"/>
      <w:r>
        <w:rPr>
          <w:rFonts w:asciiTheme="minorEastAsia" w:eastAsiaTheme="minorEastAsia" w:hAnsiTheme="minorEastAsia" w:cs="Arial" w:hint="eastAsia"/>
          <w:szCs w:val="21"/>
        </w:rPr>
        <w:t>侧袋机制</w:t>
      </w:r>
      <w:proofErr w:type="gramEnd"/>
      <w:r>
        <w:rPr>
          <w:rFonts w:asciiTheme="minorEastAsia" w:eastAsiaTheme="minorEastAsia" w:hAnsiTheme="minorEastAsia" w:cs="Arial" w:hint="eastAsia"/>
          <w:szCs w:val="21"/>
        </w:rPr>
        <w:t>实施期间的相关安排</w:t>
      </w:r>
      <w:proofErr w:type="gramStart"/>
      <w:r>
        <w:rPr>
          <w:rFonts w:asciiTheme="minorEastAsia" w:eastAsiaTheme="minorEastAsia" w:hAnsiTheme="minorEastAsia" w:cs="Arial" w:hint="eastAsia"/>
          <w:szCs w:val="21"/>
        </w:rPr>
        <w:t>见基金</w:t>
      </w:r>
      <w:proofErr w:type="gramEnd"/>
      <w:r>
        <w:rPr>
          <w:rFonts w:asciiTheme="minorEastAsia" w:eastAsiaTheme="minorEastAsia" w:hAnsiTheme="minorEastAsia" w:cs="Arial" w:hint="eastAsia"/>
          <w:szCs w:val="21"/>
        </w:rPr>
        <w:t>合同和招募说明书的规定。</w:t>
      </w:r>
    </w:p>
    <w:p w14:paraId="7BABD390" w14:textId="77777777" w:rsidR="002B077A" w:rsidRDefault="002B077A">
      <w:pPr>
        <w:widowControl/>
        <w:adjustRightInd w:val="0"/>
        <w:snapToGrid w:val="0"/>
        <w:spacing w:line="360" w:lineRule="auto"/>
        <w:ind w:firstLineChars="200" w:firstLine="420"/>
        <w:rPr>
          <w:rFonts w:asciiTheme="minorEastAsia" w:eastAsiaTheme="minorEastAsia" w:hAnsiTheme="minorEastAsia" w:cs="Arial"/>
          <w:kern w:val="0"/>
          <w:szCs w:val="21"/>
          <w:lang w:val="en-GB"/>
        </w:rPr>
      </w:pPr>
    </w:p>
    <w:p w14:paraId="09E03CA4" w14:textId="77777777" w:rsidR="002B077A" w:rsidRDefault="00DB5093">
      <w:pPr>
        <w:widowControl/>
        <w:spacing w:line="360" w:lineRule="auto"/>
        <w:jc w:val="left"/>
        <w:rPr>
          <w:rFonts w:asciiTheme="minorEastAsia" w:eastAsiaTheme="minorEastAsia" w:hAnsiTheme="minorEastAsia" w:cs="Arial"/>
          <w:kern w:val="0"/>
          <w:szCs w:val="21"/>
          <w:lang w:val="en-GB"/>
        </w:rPr>
      </w:pPr>
      <w:r>
        <w:rPr>
          <w:rFonts w:asciiTheme="minorEastAsia" w:eastAsiaTheme="minorEastAsia" w:hAnsiTheme="minorEastAsia" w:cs="Arial"/>
          <w:kern w:val="0"/>
          <w:szCs w:val="21"/>
          <w:lang w:val="en-GB"/>
        </w:rPr>
        <w:br w:type="page"/>
      </w:r>
    </w:p>
    <w:p w14:paraId="7A8326D5"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1" w:name="_Toc520904534"/>
      <w:r>
        <w:rPr>
          <w:rFonts w:asciiTheme="minorEastAsia" w:eastAsiaTheme="minorEastAsia" w:hAnsiTheme="minorEastAsia" w:hint="eastAsia"/>
          <w:sz w:val="21"/>
          <w:szCs w:val="21"/>
        </w:rPr>
        <w:lastRenderedPageBreak/>
        <w:t>一、基金托管协议当事人</w:t>
      </w:r>
      <w:bookmarkEnd w:id="1"/>
    </w:p>
    <w:p w14:paraId="1475AF9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（一）基金管理人</w:t>
      </w:r>
    </w:p>
    <w:p w14:paraId="01DF0C2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名称：摩根士丹利基金管理（中国）有限公司</w:t>
      </w:r>
    </w:p>
    <w:p w14:paraId="64E2002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注册地址：深圳市福田区中心四路</w:t>
      </w:r>
      <w:r>
        <w:rPr>
          <w:rFonts w:asciiTheme="minorEastAsia" w:eastAsiaTheme="minorEastAsia" w:hAnsiTheme="minorEastAsia" w:cs="Arial"/>
          <w:szCs w:val="21"/>
        </w:rPr>
        <w:t>1</w:t>
      </w:r>
      <w:r>
        <w:rPr>
          <w:rFonts w:asciiTheme="minorEastAsia" w:eastAsiaTheme="minorEastAsia" w:hAnsiTheme="minorEastAsia" w:cs="Arial" w:hint="eastAsia"/>
          <w:szCs w:val="21"/>
        </w:rPr>
        <w:t>号嘉里建设广场第二座第</w:t>
      </w:r>
      <w:r>
        <w:rPr>
          <w:rFonts w:asciiTheme="minorEastAsia" w:eastAsiaTheme="minorEastAsia" w:hAnsiTheme="minorEastAsia" w:cs="Arial"/>
          <w:szCs w:val="21"/>
        </w:rPr>
        <w:t>17</w:t>
      </w:r>
      <w:r>
        <w:rPr>
          <w:rFonts w:asciiTheme="minorEastAsia" w:eastAsiaTheme="minorEastAsia" w:hAnsiTheme="minorEastAsia" w:cs="Arial" w:hint="eastAsia"/>
          <w:szCs w:val="21"/>
        </w:rPr>
        <w:t>层</w:t>
      </w:r>
      <w:r>
        <w:rPr>
          <w:rFonts w:asciiTheme="minorEastAsia" w:eastAsiaTheme="minorEastAsia" w:hAnsiTheme="minorEastAsia" w:cs="Arial"/>
          <w:szCs w:val="21"/>
        </w:rPr>
        <w:t>01-04</w:t>
      </w:r>
      <w:r>
        <w:rPr>
          <w:rFonts w:asciiTheme="minorEastAsia" w:eastAsiaTheme="minorEastAsia" w:hAnsiTheme="minorEastAsia" w:cs="Arial" w:hint="eastAsia"/>
          <w:szCs w:val="21"/>
        </w:rPr>
        <w:t>室</w:t>
      </w:r>
    </w:p>
    <w:p w14:paraId="4D2C6C5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办公地址：深圳市福田区中心四路</w:t>
      </w:r>
      <w:r>
        <w:rPr>
          <w:rFonts w:asciiTheme="minorEastAsia" w:eastAsiaTheme="minorEastAsia" w:hAnsiTheme="minorEastAsia" w:cs="Arial"/>
          <w:szCs w:val="21"/>
        </w:rPr>
        <w:t>1</w:t>
      </w:r>
      <w:r>
        <w:rPr>
          <w:rFonts w:asciiTheme="minorEastAsia" w:eastAsiaTheme="minorEastAsia" w:hAnsiTheme="minorEastAsia" w:cs="Arial" w:hint="eastAsia"/>
          <w:szCs w:val="21"/>
        </w:rPr>
        <w:t>号嘉里建设广场第二座第</w:t>
      </w:r>
      <w:r>
        <w:rPr>
          <w:rFonts w:asciiTheme="minorEastAsia" w:eastAsiaTheme="minorEastAsia" w:hAnsiTheme="minorEastAsia" w:cs="Arial"/>
          <w:szCs w:val="21"/>
        </w:rPr>
        <w:t>17</w:t>
      </w:r>
      <w:r>
        <w:rPr>
          <w:rFonts w:asciiTheme="minorEastAsia" w:eastAsiaTheme="minorEastAsia" w:hAnsiTheme="minorEastAsia" w:cs="Arial" w:hint="eastAsia"/>
          <w:szCs w:val="21"/>
        </w:rPr>
        <w:t>层</w:t>
      </w:r>
    </w:p>
    <w:p w14:paraId="3C4497A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邮政编码：518048</w:t>
      </w:r>
    </w:p>
    <w:p w14:paraId="2E7B946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法定代表人：</w:t>
      </w:r>
      <w:r>
        <w:rPr>
          <w:rFonts w:asciiTheme="minorEastAsia" w:eastAsiaTheme="minorEastAsia" w:hAnsiTheme="minorEastAsia" w:hint="eastAsia"/>
        </w:rPr>
        <w:t>ZHOU WENTONG（周文秱）</w:t>
      </w:r>
    </w:p>
    <w:p w14:paraId="55F9E58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成立日期：</w:t>
      </w:r>
      <w:r>
        <w:rPr>
          <w:rFonts w:asciiTheme="minorEastAsia" w:eastAsiaTheme="minorEastAsia" w:hAnsiTheme="minorEastAsia" w:cs="Arial"/>
          <w:szCs w:val="21"/>
        </w:rPr>
        <w:t>2003年3月14日</w:t>
      </w:r>
    </w:p>
    <w:p w14:paraId="6EE6396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批准设立机关及批准设立文号：中国证监会证</w:t>
      </w:r>
      <w:proofErr w:type="gramStart"/>
      <w:r>
        <w:rPr>
          <w:rFonts w:asciiTheme="minorEastAsia" w:eastAsiaTheme="minorEastAsia" w:hAnsiTheme="minorEastAsia" w:cs="Arial" w:hint="eastAsia"/>
          <w:szCs w:val="21"/>
        </w:rPr>
        <w:t>监基金字</w:t>
      </w:r>
      <w:proofErr w:type="gramEnd"/>
      <w:r>
        <w:rPr>
          <w:rFonts w:asciiTheme="minorEastAsia" w:eastAsiaTheme="minorEastAsia" w:hAnsiTheme="minorEastAsia" w:cs="Arial"/>
          <w:szCs w:val="21"/>
        </w:rPr>
        <w:t>[2003]33</w:t>
      </w:r>
      <w:r>
        <w:rPr>
          <w:rFonts w:asciiTheme="minorEastAsia" w:eastAsiaTheme="minorEastAsia" w:hAnsiTheme="minorEastAsia" w:cs="Arial" w:hint="eastAsia"/>
          <w:szCs w:val="21"/>
        </w:rPr>
        <w:t>号</w:t>
      </w:r>
    </w:p>
    <w:p w14:paraId="1135702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组织形式：</w:t>
      </w:r>
      <w:r>
        <w:rPr>
          <w:rFonts w:asciiTheme="minorEastAsia" w:eastAsiaTheme="minorEastAsia" w:hAnsiTheme="minorEastAsia" w:cs="Arial"/>
          <w:szCs w:val="21"/>
        </w:rPr>
        <w:t>有限责任公司</w:t>
      </w:r>
    </w:p>
    <w:p w14:paraId="4A1C3726" w14:textId="6A0F65F6"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注册资本：</w:t>
      </w:r>
      <w:r w:rsidR="002D4DE6">
        <w:rPr>
          <w:rFonts w:asciiTheme="minorEastAsia" w:eastAsiaTheme="minorEastAsia" w:hAnsiTheme="minorEastAsia" w:cs="Arial" w:hint="eastAsia"/>
          <w:szCs w:val="21"/>
        </w:rPr>
        <w:t>95</w:t>
      </w:r>
      <w:r>
        <w:rPr>
          <w:rFonts w:asciiTheme="minorEastAsia" w:eastAsiaTheme="minorEastAsia" w:hAnsiTheme="minorEastAsia" w:cs="Arial"/>
          <w:szCs w:val="21"/>
        </w:rPr>
        <w:t>,000</w:t>
      </w:r>
      <w:r>
        <w:rPr>
          <w:rFonts w:asciiTheme="minorEastAsia" w:eastAsiaTheme="minorEastAsia" w:hAnsiTheme="minorEastAsia" w:cs="Arial" w:hint="eastAsia"/>
          <w:szCs w:val="21"/>
        </w:rPr>
        <w:t>万元人民币</w:t>
      </w:r>
    </w:p>
    <w:p w14:paraId="377C8260" w14:textId="729D00A9"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存续期间：永续经营</w:t>
      </w:r>
    </w:p>
    <w:p w14:paraId="3EA260F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szCs w:val="21"/>
        </w:rPr>
        <w:t>联系电话：</w:t>
      </w:r>
      <w:r>
        <w:rPr>
          <w:rFonts w:asciiTheme="minorEastAsia" w:eastAsiaTheme="minorEastAsia" w:hAnsiTheme="minorEastAsia" w:cs="Arial" w:hint="eastAsia"/>
          <w:szCs w:val="21"/>
        </w:rPr>
        <w:t>0755-88318883</w:t>
      </w:r>
    </w:p>
    <w:p w14:paraId="766F81A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（二）基金托管人</w:t>
      </w:r>
    </w:p>
    <w:p w14:paraId="2ECDE94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名称：中国建设银行股份有限公司(简称：中国建设银行)</w:t>
      </w:r>
    </w:p>
    <w:p w14:paraId="2C7AAA7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住所：北京市西城区金融大街25号</w:t>
      </w:r>
    </w:p>
    <w:p w14:paraId="78E9C1F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办公地址：北京市西城区闹市口大街1号院1号楼</w:t>
      </w:r>
    </w:p>
    <w:p w14:paraId="3AC2DF7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邮政编码：100033</w:t>
      </w:r>
    </w:p>
    <w:p w14:paraId="6102F39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法定代表人：</w:t>
      </w:r>
      <w:bookmarkStart w:id="2" w:name="_Hlk190260720"/>
      <w:r>
        <w:rPr>
          <w:rFonts w:asciiTheme="minorEastAsia" w:eastAsiaTheme="minorEastAsia" w:hAnsiTheme="minorEastAsia" w:cs="Arial" w:hint="eastAsia"/>
          <w:szCs w:val="21"/>
        </w:rPr>
        <w:t>张金良</w:t>
      </w:r>
      <w:bookmarkEnd w:id="2"/>
    </w:p>
    <w:p w14:paraId="494836F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成立日期：2004年09月17日</w:t>
      </w:r>
    </w:p>
    <w:p w14:paraId="727130F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基金托管业务批准文号：中国证监会</w:t>
      </w:r>
      <w:proofErr w:type="gramStart"/>
      <w:r>
        <w:rPr>
          <w:rFonts w:asciiTheme="minorEastAsia" w:eastAsiaTheme="minorEastAsia" w:hAnsiTheme="minorEastAsia" w:cs="Arial" w:hint="eastAsia"/>
          <w:szCs w:val="21"/>
        </w:rPr>
        <w:t>证监基字</w:t>
      </w:r>
      <w:proofErr w:type="gramEnd"/>
      <w:r>
        <w:rPr>
          <w:rFonts w:asciiTheme="minorEastAsia" w:eastAsiaTheme="minorEastAsia" w:hAnsiTheme="minorEastAsia" w:cs="Arial" w:hint="eastAsia"/>
          <w:szCs w:val="21"/>
        </w:rPr>
        <w:t>[1998</w:t>
      </w:r>
      <w:bookmarkStart w:id="3" w:name="OLE_LINK3"/>
      <w:r>
        <w:rPr>
          <w:rFonts w:asciiTheme="minorEastAsia" w:eastAsiaTheme="minorEastAsia" w:hAnsiTheme="minorEastAsia" w:cs="Arial" w:hint="eastAsia"/>
          <w:szCs w:val="21"/>
        </w:rPr>
        <w:t>]</w:t>
      </w:r>
      <w:bookmarkEnd w:id="3"/>
      <w:r>
        <w:rPr>
          <w:rFonts w:asciiTheme="minorEastAsia" w:eastAsiaTheme="minorEastAsia" w:hAnsiTheme="minorEastAsia" w:cs="Arial" w:hint="eastAsia"/>
          <w:szCs w:val="21"/>
        </w:rPr>
        <w:t>12号</w:t>
      </w:r>
    </w:p>
    <w:p w14:paraId="7B6F628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批准设立机关及批准设立文号：银监</w:t>
      </w:r>
      <w:proofErr w:type="gramStart"/>
      <w:r>
        <w:rPr>
          <w:rFonts w:asciiTheme="minorEastAsia" w:eastAsiaTheme="minorEastAsia" w:hAnsiTheme="minorEastAsia" w:cs="Arial" w:hint="eastAsia"/>
          <w:szCs w:val="21"/>
        </w:rPr>
        <w:t>会银监复</w:t>
      </w:r>
      <w:proofErr w:type="gramEnd"/>
      <w:r>
        <w:rPr>
          <w:rFonts w:asciiTheme="minorEastAsia" w:eastAsiaTheme="minorEastAsia" w:hAnsiTheme="minorEastAsia" w:cs="Arial" w:hint="eastAsia"/>
          <w:szCs w:val="21"/>
        </w:rPr>
        <w:t>【2004】143号</w:t>
      </w:r>
    </w:p>
    <w:p w14:paraId="7B23618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组织形式：股份有限公司</w:t>
      </w:r>
    </w:p>
    <w:p w14:paraId="17626B51"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注册资本：</w:t>
      </w:r>
      <w:proofErr w:type="gramStart"/>
      <w:r>
        <w:rPr>
          <w:rFonts w:asciiTheme="minorEastAsia" w:eastAsiaTheme="minorEastAsia" w:hAnsiTheme="minorEastAsia" w:cs="Arial" w:hint="eastAsia"/>
          <w:szCs w:val="21"/>
        </w:rPr>
        <w:t>贰仟伍佰亿壹仟零玖拾柒万柒仟肆佰捌拾陆</w:t>
      </w:r>
      <w:proofErr w:type="gramEnd"/>
      <w:r>
        <w:rPr>
          <w:rFonts w:asciiTheme="minorEastAsia" w:eastAsiaTheme="minorEastAsia" w:hAnsiTheme="minorEastAsia" w:cs="Arial" w:hint="eastAsia"/>
          <w:szCs w:val="21"/>
        </w:rPr>
        <w:t>元整</w:t>
      </w:r>
    </w:p>
    <w:p w14:paraId="35BBB71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存续期间：持续经营</w:t>
      </w:r>
    </w:p>
    <w:p w14:paraId="7D6C2E8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14:paraId="3A41887F" w14:textId="77777777" w:rsidR="002B077A" w:rsidRDefault="00DB5093">
      <w:pPr>
        <w:widowControl/>
        <w:spacing w:line="360" w:lineRule="auto"/>
        <w:jc w:val="left"/>
        <w:rPr>
          <w:rFonts w:asciiTheme="minorEastAsia" w:eastAsiaTheme="minorEastAsia" w:hAnsiTheme="minorEastAsia"/>
          <w:b/>
          <w:szCs w:val="21"/>
        </w:rPr>
      </w:pPr>
      <w:r>
        <w:rPr>
          <w:rFonts w:asciiTheme="minorEastAsia" w:eastAsiaTheme="minorEastAsia" w:hAnsiTheme="minorEastAsia"/>
          <w:szCs w:val="21"/>
        </w:rPr>
        <w:br w:type="page"/>
      </w:r>
    </w:p>
    <w:p w14:paraId="7F1E446D"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4" w:name="_Toc520904535"/>
      <w:r>
        <w:rPr>
          <w:rFonts w:asciiTheme="minorEastAsia" w:eastAsiaTheme="minorEastAsia" w:hAnsiTheme="minorEastAsia" w:hint="eastAsia"/>
          <w:sz w:val="21"/>
          <w:szCs w:val="21"/>
        </w:rPr>
        <w:lastRenderedPageBreak/>
        <w:t>二、基金托管协议的依据、目的和原则</w:t>
      </w:r>
      <w:bookmarkEnd w:id="4"/>
    </w:p>
    <w:p w14:paraId="4734171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（一）订立托管协议的依据</w:t>
      </w:r>
    </w:p>
    <w:p w14:paraId="34659841"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协议依据《中华人民共和国证券投资基金法》（以下简称“《基金法》”）、《公开募集证券投资基金运作管理办法》（以下简称“《运作办法》”）、《公开募集证券投资基金信息披露管理办法》（以下简称“《信息披露办法》”）、《公开募集开放式证券投资基金流动性风险管理规定》（以下简称“《流动性风险规定》”）及其他有关法律法规与《摩根士丹利景气智选混合型证券投资基金基金合同》（以下简称“基金合同”）订立。</w:t>
      </w:r>
    </w:p>
    <w:p w14:paraId="388ECE7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（二）订立托管协议的目的</w:t>
      </w:r>
    </w:p>
    <w:p w14:paraId="5994087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F16B26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（三）订立托管协议的原则</w:t>
      </w:r>
    </w:p>
    <w:p w14:paraId="44C5D63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基金管理人和基金托管人本着平等自愿、诚实信用、充分保护基金份额持有人合法权益的原则，经协商一致，签订本协议。</w:t>
      </w:r>
    </w:p>
    <w:p w14:paraId="74B8689A" w14:textId="77777777" w:rsidR="002B077A" w:rsidRDefault="002B077A">
      <w:pPr>
        <w:spacing w:line="360" w:lineRule="auto"/>
        <w:rPr>
          <w:rFonts w:asciiTheme="minorEastAsia" w:eastAsiaTheme="minorEastAsia" w:hAnsiTheme="minorEastAsia"/>
          <w:szCs w:val="21"/>
        </w:rPr>
      </w:pPr>
    </w:p>
    <w:p w14:paraId="6191CD9C" w14:textId="77777777" w:rsidR="002B077A" w:rsidRDefault="00DB5093">
      <w:pPr>
        <w:widowControl/>
        <w:spacing w:line="360" w:lineRule="auto"/>
        <w:jc w:val="left"/>
        <w:rPr>
          <w:rFonts w:asciiTheme="minorEastAsia" w:eastAsiaTheme="minorEastAsia" w:hAnsiTheme="minorEastAsia"/>
          <w:b/>
          <w:szCs w:val="21"/>
        </w:rPr>
      </w:pPr>
      <w:r>
        <w:rPr>
          <w:rFonts w:asciiTheme="minorEastAsia" w:eastAsiaTheme="minorEastAsia" w:hAnsiTheme="minorEastAsia"/>
          <w:szCs w:val="21"/>
        </w:rPr>
        <w:br w:type="page"/>
      </w:r>
    </w:p>
    <w:p w14:paraId="3189C8A4" w14:textId="77777777" w:rsidR="002B077A" w:rsidRDefault="00DB5093">
      <w:pPr>
        <w:pStyle w:val="2"/>
        <w:spacing w:before="0" w:after="0" w:line="360" w:lineRule="auto"/>
        <w:jc w:val="center"/>
        <w:rPr>
          <w:rFonts w:asciiTheme="minorEastAsia" w:eastAsiaTheme="minorEastAsia" w:hAnsiTheme="minorEastAsia"/>
          <w:szCs w:val="21"/>
        </w:rPr>
      </w:pPr>
      <w:bookmarkStart w:id="5" w:name="_Toc520904536"/>
      <w:r>
        <w:rPr>
          <w:rFonts w:asciiTheme="minorEastAsia" w:eastAsiaTheme="minorEastAsia" w:hAnsiTheme="minorEastAsia" w:hint="eastAsia"/>
          <w:sz w:val="21"/>
          <w:szCs w:val="21"/>
        </w:rPr>
        <w:lastRenderedPageBreak/>
        <w:t>三、基金托管人对基金管理人的业务监督和核查</w:t>
      </w:r>
      <w:bookmarkEnd w:id="5"/>
    </w:p>
    <w:p w14:paraId="0DE315C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一）基金托管人根据有关法律法规的规定及《基金合同》的约定，对基金投资范围、投资对象进行监督。《基金合同》明确约定基金投资风格或证券选择标准的，基金管理人应按照基金托管人要求的格式，将拟投资的标的证券库中各投资品种的具体范围提供给基金托管人，基金管理人可以根据实际情况的变化，对各标的投资品种的具体范围予以更新和调整并及时通知基金托管人。基金托管人根据上述投资范围对基金实际投资是否符合《基金合同》关于证券选择标准的约定进行监督。</w:t>
      </w:r>
    </w:p>
    <w:p w14:paraId="5BC7DAE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基金的投资范围主要为具有良好流动性的金融工具，包括国内依法上市的股票（包括主板、创业板、存托凭证及其他经中国证监会允许发行上市的股票）、港股通标的股票、债券（包括国债、央行票据、金融债、企业债、公司债、政府支持机构债券、政府支持债券、地方政府债券、可转换债券（</w:t>
      </w:r>
      <w:proofErr w:type="gramStart"/>
      <w:r>
        <w:rPr>
          <w:rFonts w:asciiTheme="minorEastAsia" w:eastAsiaTheme="minorEastAsia" w:hAnsiTheme="minorEastAsia" w:cs="Arial" w:hint="eastAsia"/>
          <w:szCs w:val="21"/>
        </w:rPr>
        <w:t>含可分离</w:t>
      </w:r>
      <w:proofErr w:type="gramEnd"/>
      <w:r>
        <w:rPr>
          <w:rFonts w:asciiTheme="minorEastAsia" w:eastAsiaTheme="minorEastAsia" w:hAnsiTheme="minorEastAsia" w:cs="Arial" w:hint="eastAsia"/>
          <w:szCs w:val="21"/>
        </w:rPr>
        <w:t>交易可转换债券）、可交换债、次级债、短期融资</w:t>
      </w:r>
      <w:proofErr w:type="gramStart"/>
      <w:r>
        <w:rPr>
          <w:rFonts w:asciiTheme="minorEastAsia" w:eastAsiaTheme="minorEastAsia" w:hAnsiTheme="minorEastAsia" w:cs="Arial" w:hint="eastAsia"/>
          <w:szCs w:val="21"/>
        </w:rPr>
        <w:t>券</w:t>
      </w:r>
      <w:proofErr w:type="gramEnd"/>
      <w:r>
        <w:rPr>
          <w:rFonts w:asciiTheme="minorEastAsia" w:eastAsiaTheme="minorEastAsia" w:hAnsiTheme="minorEastAsia" w:cs="Arial" w:hint="eastAsia"/>
          <w:szCs w:val="21"/>
        </w:rPr>
        <w:t>、超短期融资</w:t>
      </w:r>
      <w:proofErr w:type="gramStart"/>
      <w:r>
        <w:rPr>
          <w:rFonts w:asciiTheme="minorEastAsia" w:eastAsiaTheme="minorEastAsia" w:hAnsiTheme="minorEastAsia" w:cs="Arial" w:hint="eastAsia"/>
          <w:szCs w:val="21"/>
        </w:rPr>
        <w:t>券</w:t>
      </w:r>
      <w:proofErr w:type="gramEnd"/>
      <w:r>
        <w:rPr>
          <w:rFonts w:asciiTheme="minorEastAsia" w:eastAsiaTheme="minorEastAsia" w:hAnsiTheme="minorEastAsia" w:cs="Arial" w:hint="eastAsia"/>
          <w:szCs w:val="21"/>
        </w:rPr>
        <w:t>、中期票据及其他中国证监会允许投资的债券或票据）、资产支持证券、债券回购、银行存款（包括协议存款、定期存款及其他银行存款）、同业存单、股指期货、国债期货、货币市场工具以及法律法规或中国证监会允许基金投资的其它金融工具（但须符合中国证监会的相关规定）。</w:t>
      </w:r>
    </w:p>
    <w:p w14:paraId="1D256E5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如法律法规或监管机构以后允许基金投资其他品种，基金管理人在履行适当程序后，可以将其纳入投资范围。</w:t>
      </w:r>
    </w:p>
    <w:p w14:paraId="4006CFB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的投资组合比例为：股票及存托凭证投资占基金资产的比例为60%-95%，其中，投资于港股通标的股票的比例占股票资产的0-50%。每个交易日日终在扣除股指期货、国债期货合约需缴纳的交易保证金后，本基金持有现金或到期日在一年以内的政府债券不低于基金资产净值的5%，其中现金不包括结算备付金、存出保证金、应收申购款等。股指期货、国债期货及其他金融工具的投资比例符合法律法规和监管机构的规定。</w:t>
      </w:r>
    </w:p>
    <w:p w14:paraId="605B0CE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如法律法规或监管机构变更上述投资品种的比例限制，基金管理人在履行适当程序后，以变更后的比例为准，本基金的投资比例将相应调整。</w:t>
      </w:r>
    </w:p>
    <w:p w14:paraId="200AAB9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（二）基金托管人根据有关法律法规的规定及《基金合同》的约定，对基金投资、融资比例进行监督。基金托管人按下述比例和调整期限进行监督：</w:t>
      </w:r>
    </w:p>
    <w:p w14:paraId="5465D07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（1）本基金股票及存托凭证投资占基金资产的比例为60%-95%，其中，投资于港股通标的股票的比例占股票资产的0-50%；</w:t>
      </w:r>
    </w:p>
    <w:p w14:paraId="60FB54C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本基金每个交易日日终在扣除股指期货、国债期货合约需缴纳的交易保证金后，本基金持有的现金或到期日在一年以内的政府债券的比例不低于基金资产净值的5%，其中现金不包括结算备付金、存出保证金、应收申购款等；</w:t>
      </w:r>
    </w:p>
    <w:p w14:paraId="24F101B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（3）本基金持有一家公司发行的证券（同一家公司在内地和香港同时上市的A+H股合计计算），其市值不超过基金资产净值的10％；</w:t>
      </w:r>
    </w:p>
    <w:p w14:paraId="4CDB504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（4）本基金管理人管理的</w:t>
      </w:r>
      <w:r w:rsidRPr="00FB17F4">
        <w:rPr>
          <w:rFonts w:asciiTheme="minorEastAsia" w:eastAsiaTheme="minorEastAsia" w:hAnsiTheme="minorEastAsia" w:cs="Arial" w:hint="eastAsia"/>
          <w:szCs w:val="21"/>
        </w:rPr>
        <w:t>且在本基金托管人处托管的</w:t>
      </w:r>
      <w:r>
        <w:rPr>
          <w:rFonts w:asciiTheme="minorEastAsia" w:eastAsiaTheme="minorEastAsia" w:hAnsiTheme="minorEastAsia" w:cs="Arial" w:hint="eastAsia"/>
          <w:szCs w:val="21"/>
        </w:rPr>
        <w:t>全部基金持有一家公司发行的证券</w:t>
      </w:r>
      <w:r>
        <w:rPr>
          <w:rFonts w:asciiTheme="minorEastAsia" w:eastAsiaTheme="minorEastAsia" w:hAnsiTheme="minorEastAsia" w:cs="Arial" w:hint="eastAsia"/>
          <w:szCs w:val="21"/>
        </w:rPr>
        <w:lastRenderedPageBreak/>
        <w:t>（同一家公司在内地和香港同时上市的A+H股合计计算），不超过该证券的10％；</w:t>
      </w:r>
    </w:p>
    <w:p w14:paraId="0147036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（5）本基金管理人管理的</w:t>
      </w:r>
      <w:r w:rsidRPr="00FB17F4">
        <w:rPr>
          <w:rFonts w:asciiTheme="minorEastAsia" w:eastAsiaTheme="minorEastAsia" w:hAnsiTheme="minorEastAsia" w:cs="Arial" w:hint="eastAsia"/>
          <w:szCs w:val="21"/>
        </w:rPr>
        <w:t>且在本基金托管人处托管的</w:t>
      </w:r>
      <w:r>
        <w:rPr>
          <w:rFonts w:asciiTheme="minorEastAsia" w:eastAsiaTheme="minorEastAsia" w:hAnsiTheme="minorEastAsia" w:cs="Arial" w:hint="eastAsia"/>
          <w:szCs w:val="21"/>
        </w:rPr>
        <w:t>全部开放式基金持有一家上市公司发行的可流通股票，不得超过该上市公司可流通股票的15%；本基金管理人管理的</w:t>
      </w:r>
      <w:r w:rsidRPr="00FB17F4">
        <w:rPr>
          <w:rFonts w:asciiTheme="minorEastAsia" w:eastAsiaTheme="minorEastAsia" w:hAnsiTheme="minorEastAsia" w:cs="Arial" w:hint="eastAsia"/>
          <w:szCs w:val="21"/>
        </w:rPr>
        <w:t>且在本基金托管人处托管的</w:t>
      </w:r>
      <w:r>
        <w:rPr>
          <w:rFonts w:asciiTheme="minorEastAsia" w:eastAsiaTheme="minorEastAsia" w:hAnsiTheme="minorEastAsia" w:cs="Arial" w:hint="eastAsia"/>
          <w:szCs w:val="21"/>
        </w:rPr>
        <w:t>全部投资组合持有一家上市公司发行的可流通股票，不得超过该上市公司可流通股票的30%；</w:t>
      </w:r>
    </w:p>
    <w:p w14:paraId="51767DC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6）本基金主动投资于流动性受限资产的市值合计不得超过基金资产净值的15%；因证券市场波动、上市公司股票停牌、基金规模变动等基金管理人之外的因素致使基金不符合前述所规定比例限制的，基金管理人不得主动新增流动性受限资产的投资；</w:t>
      </w:r>
    </w:p>
    <w:p w14:paraId="79B9809D" w14:textId="3B04ED4D"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w:t>
      </w:r>
      <w:r w:rsidR="00ED0349">
        <w:rPr>
          <w:rFonts w:asciiTheme="minorEastAsia" w:eastAsiaTheme="minorEastAsia" w:hAnsiTheme="minorEastAsia" w:cs="Arial" w:hint="eastAsia"/>
          <w:szCs w:val="21"/>
        </w:rPr>
        <w:t>7</w:t>
      </w:r>
      <w:r>
        <w:rPr>
          <w:rFonts w:asciiTheme="minorEastAsia" w:eastAsiaTheme="minorEastAsia" w:hAnsiTheme="minorEastAsia" w:cs="Arial" w:hint="eastAsia"/>
          <w:szCs w:val="21"/>
        </w:rPr>
        <w:t>）本基金投资于同一原始权益人的各类资产支持证券的比例，不得超过基金资产净值的10％；</w:t>
      </w:r>
    </w:p>
    <w:p w14:paraId="5C87F52E" w14:textId="671C8E1A"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w:t>
      </w:r>
      <w:r w:rsidR="00ED0349">
        <w:rPr>
          <w:rFonts w:asciiTheme="minorEastAsia" w:eastAsiaTheme="minorEastAsia" w:hAnsiTheme="minorEastAsia" w:cs="Arial" w:hint="eastAsia"/>
          <w:szCs w:val="21"/>
        </w:rPr>
        <w:t>8</w:t>
      </w:r>
      <w:r>
        <w:rPr>
          <w:rFonts w:asciiTheme="minorEastAsia" w:eastAsiaTheme="minorEastAsia" w:hAnsiTheme="minorEastAsia" w:cs="Arial" w:hint="eastAsia"/>
          <w:szCs w:val="21"/>
        </w:rPr>
        <w:t>）本基金持有的全部资产支持证券，其市值不得超过基金资产净值的20％；</w:t>
      </w:r>
    </w:p>
    <w:p w14:paraId="66D5C026" w14:textId="3EE2D13B"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w:t>
      </w:r>
      <w:r w:rsidR="00ED0349">
        <w:rPr>
          <w:rFonts w:asciiTheme="minorEastAsia" w:eastAsiaTheme="minorEastAsia" w:hAnsiTheme="minorEastAsia" w:cs="Arial" w:hint="eastAsia"/>
          <w:szCs w:val="21"/>
        </w:rPr>
        <w:t>9</w:t>
      </w:r>
      <w:r>
        <w:rPr>
          <w:rFonts w:asciiTheme="minorEastAsia" w:eastAsiaTheme="minorEastAsia" w:hAnsiTheme="minorEastAsia" w:cs="Arial" w:hint="eastAsia"/>
          <w:szCs w:val="21"/>
        </w:rPr>
        <w:t>）本基金持有的同一(指同一信用级别)资产支持证券的比例，不得超过该资产支持证券规模的10％；</w:t>
      </w:r>
    </w:p>
    <w:p w14:paraId="313954DC" w14:textId="25E91062"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w:t>
      </w:r>
      <w:r w:rsidR="00ED0349">
        <w:rPr>
          <w:rFonts w:asciiTheme="minorEastAsia" w:eastAsiaTheme="minorEastAsia" w:hAnsiTheme="minorEastAsia" w:cs="Arial" w:hint="eastAsia"/>
          <w:szCs w:val="21"/>
        </w:rPr>
        <w:t>0</w:t>
      </w:r>
      <w:r>
        <w:rPr>
          <w:rFonts w:asciiTheme="minorEastAsia" w:eastAsiaTheme="minorEastAsia" w:hAnsiTheme="minorEastAsia" w:cs="Arial" w:hint="eastAsia"/>
          <w:szCs w:val="21"/>
        </w:rPr>
        <w:t>）本基金管理人管理的</w:t>
      </w:r>
      <w:r w:rsidRPr="00FB17F4">
        <w:rPr>
          <w:rFonts w:asciiTheme="minorEastAsia" w:eastAsiaTheme="minorEastAsia" w:hAnsiTheme="minorEastAsia" w:cs="Arial" w:hint="eastAsia"/>
          <w:szCs w:val="21"/>
        </w:rPr>
        <w:t>且在本基金托管人处托管的</w:t>
      </w:r>
      <w:r>
        <w:rPr>
          <w:rFonts w:asciiTheme="minorEastAsia" w:eastAsiaTheme="minorEastAsia" w:hAnsiTheme="minorEastAsia" w:cs="Arial" w:hint="eastAsia"/>
          <w:szCs w:val="21"/>
        </w:rPr>
        <w:t>全部基金投资于同一原始权益人的各类资产支持证券，不得超过其各类资产支持证券合计规模的10％；</w:t>
      </w:r>
    </w:p>
    <w:p w14:paraId="6D99A2F9" w14:textId="4A184FF0"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w:t>
      </w:r>
      <w:r w:rsidR="00ED0349">
        <w:rPr>
          <w:rFonts w:asciiTheme="minorEastAsia" w:eastAsiaTheme="minorEastAsia" w:hAnsiTheme="minorEastAsia" w:cs="Arial" w:hint="eastAsia"/>
          <w:szCs w:val="21"/>
        </w:rPr>
        <w:t>1</w:t>
      </w:r>
      <w:r>
        <w:rPr>
          <w:rFonts w:asciiTheme="minorEastAsia" w:eastAsiaTheme="minorEastAsia" w:hAnsiTheme="minorEastAsia" w:cs="Arial" w:hint="eastAsia"/>
          <w:szCs w:val="21"/>
        </w:rPr>
        <w:t>）本基金应投资于信用级别评级为BBB以上(含BBB)的资产支持证券。基金持有资产支持证券期间，如果其信用等级下降、不再符合投资标准，应在评级报告发布之日起3个月内予以全部卖出；</w:t>
      </w:r>
    </w:p>
    <w:p w14:paraId="3A0E26C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（13）基金财产参与股票发行申购，本基金所申报的金额不超过本基金的总资产，本基金所申报的股票数量不超过拟发行股票公司本次发行股票的总量；</w:t>
      </w:r>
    </w:p>
    <w:p w14:paraId="4BF1EDD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（14）本基金进入全国银行间同业市场进行债券回购的最长期限为１年，债券回购到期后不得展期；</w:t>
      </w:r>
    </w:p>
    <w:p w14:paraId="1B3F2E2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（15）本基金参与股指期货、国债期货交易的，应遵循下列限制：</w:t>
      </w:r>
    </w:p>
    <w:p w14:paraId="61D9383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1）本基金在任何交易日日终，持有的买入股指期货合约价值，不得超过基金资产净值的10%；</w:t>
      </w:r>
    </w:p>
    <w:p w14:paraId="654FB2A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本基金在任何交易日日终，持有的买入股指期货、国债期货合约价值与有价证券市值之和，不得超过基金资产净值的95%；其中，有价证券指股票、债券（不含到期日在一年以内的政府债券）、资产支持证券、买入返售金融资产（不含质押式回购）等；</w:t>
      </w:r>
    </w:p>
    <w:p w14:paraId="3D86CFB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3）本基金在任何交易日日终，持有的卖出股指期货合约价值不得超过基金持有的股票总市值的20%；</w:t>
      </w:r>
    </w:p>
    <w:p w14:paraId="77DABD9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4）本基金所持有的股票市值和买入、卖出股指期货合约价值，合计（轧差计算）占基金资产的比例为60%-95%；</w:t>
      </w:r>
    </w:p>
    <w:p w14:paraId="1DA9746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5）本基金在任何交易日内交易（不包括平仓）的股指期货合约的成交金额不得超过上一交易日基金资产净值的20%；</w:t>
      </w:r>
    </w:p>
    <w:p w14:paraId="08E4303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lastRenderedPageBreak/>
        <w:t>6）本基金在任何交易日日终，持有的买入国债期货合约价值，不得超过基金资产净值的15%；</w:t>
      </w:r>
    </w:p>
    <w:p w14:paraId="351ABE2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7）在任何交易日日终，持有的卖出国债期货合约价值不得超过基金持有的债券总市值的30%；</w:t>
      </w:r>
    </w:p>
    <w:p w14:paraId="5DFD573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8）在任何交易日内交易（不包括平仓）的国债期货合约的成交金额不得超过上一交易日基金资产净值的30%；</w:t>
      </w:r>
    </w:p>
    <w:p w14:paraId="00649DAB" w14:textId="07593F2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（16）本基金资产总值不得超过基金资产净值的140%；</w:t>
      </w:r>
    </w:p>
    <w:p w14:paraId="2F01659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（17）基金投资存托凭证的比例限制依照境内上市交易的股票执行；</w:t>
      </w:r>
    </w:p>
    <w:p w14:paraId="63A31BB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（18）法律法规及中国证监会规定的和基金合同约定的其他投资限制。</w:t>
      </w:r>
    </w:p>
    <w:p w14:paraId="036BE746" w14:textId="70ED3858"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除上述第（2）项、第（6）项、第（1</w:t>
      </w:r>
      <w:r w:rsidR="00ED0349">
        <w:rPr>
          <w:rFonts w:asciiTheme="minorEastAsia" w:eastAsiaTheme="minorEastAsia" w:hAnsiTheme="minorEastAsia" w:cs="Arial" w:hint="eastAsia"/>
          <w:szCs w:val="21"/>
        </w:rPr>
        <w:t>1</w:t>
      </w:r>
      <w:r>
        <w:rPr>
          <w:rFonts w:asciiTheme="minorEastAsia" w:eastAsiaTheme="minorEastAsia" w:hAnsiTheme="minorEastAsia" w:cs="Arial" w:hint="eastAsia"/>
          <w:szCs w:val="21"/>
        </w:rPr>
        <w:t>）项情形之外，因证券/期货市场波动、证券发行人合并、基金规模变动等基金管理人之外的因素致使基金投资比例不符合上述规定投资比例的，基金管理人应当在10个交易日内进行调整，但中国证监会规定的特殊情形除外。法律法规另有规定的，从其规定。</w:t>
      </w:r>
    </w:p>
    <w:p w14:paraId="5D941217" w14:textId="59113905"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1486D5E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如果法律法规或监管部门对上述投资组合比例限制进行变更的，以变更后的规定为准。法律法规或监管部门取消上述限制，如适用于本基金，基金管理人在履行适当程序后，则本基金投资不再受相关限制。</w:t>
      </w:r>
    </w:p>
    <w:p w14:paraId="13C88E5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Pr>
          <w:rFonts w:asciiTheme="minorEastAsia" w:eastAsiaTheme="minorEastAsia" w:hAnsiTheme="minorEastAsia" w:cs="Arial" w:hint="eastAsia"/>
          <w:szCs w:val="21"/>
        </w:rPr>
        <w:t>启用侧袋机制</w:t>
      </w:r>
      <w:proofErr w:type="gramEnd"/>
      <w:r>
        <w:rPr>
          <w:rFonts w:asciiTheme="minorEastAsia" w:eastAsiaTheme="minorEastAsia" w:hAnsiTheme="minorEastAsia" w:cs="Arial" w:hint="eastAsia"/>
          <w:szCs w:val="21"/>
        </w:rPr>
        <w:t xml:space="preserve">，无需召开基金份额持有人大会审议。 </w:t>
      </w:r>
    </w:p>
    <w:p w14:paraId="1009FC9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proofErr w:type="gramStart"/>
      <w:r>
        <w:rPr>
          <w:rFonts w:asciiTheme="minorEastAsia" w:eastAsiaTheme="minorEastAsia" w:hAnsiTheme="minorEastAsia" w:cs="Arial" w:hint="eastAsia"/>
          <w:szCs w:val="21"/>
        </w:rPr>
        <w:t>侧袋机制</w:t>
      </w:r>
      <w:proofErr w:type="gramEnd"/>
      <w:r>
        <w:rPr>
          <w:rFonts w:asciiTheme="minorEastAsia" w:eastAsiaTheme="minorEastAsia" w:hAnsiTheme="minorEastAsia" w:cs="Arial" w:hint="eastAsia"/>
          <w:szCs w:val="21"/>
        </w:rPr>
        <w:t>实施期间，本部分约定的投资组合比例、组合限制等约定仅</w:t>
      </w:r>
      <w:proofErr w:type="gramStart"/>
      <w:r>
        <w:rPr>
          <w:rFonts w:asciiTheme="minorEastAsia" w:eastAsiaTheme="minorEastAsia" w:hAnsiTheme="minorEastAsia" w:cs="Arial" w:hint="eastAsia"/>
          <w:szCs w:val="21"/>
        </w:rPr>
        <w:t>适用于主袋账户</w:t>
      </w:r>
      <w:proofErr w:type="gramEnd"/>
      <w:r>
        <w:rPr>
          <w:rFonts w:asciiTheme="minorEastAsia" w:eastAsiaTheme="minorEastAsia" w:hAnsiTheme="minorEastAsia" w:cs="Arial" w:hint="eastAsia"/>
          <w:szCs w:val="21"/>
        </w:rPr>
        <w:t xml:space="preserve">。 </w:t>
      </w:r>
    </w:p>
    <w:p w14:paraId="6A2B39C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proofErr w:type="gramStart"/>
      <w:r>
        <w:rPr>
          <w:rFonts w:asciiTheme="minorEastAsia" w:eastAsiaTheme="minorEastAsia" w:hAnsiTheme="minorEastAsia" w:cs="Arial" w:hint="eastAsia"/>
          <w:szCs w:val="21"/>
        </w:rPr>
        <w:t>侧袋账户</w:t>
      </w:r>
      <w:proofErr w:type="gramEnd"/>
      <w:r>
        <w:rPr>
          <w:rFonts w:asciiTheme="minorEastAsia" w:eastAsiaTheme="minorEastAsia" w:hAnsiTheme="minorEastAsia" w:cs="Arial" w:hint="eastAsia"/>
          <w:szCs w:val="21"/>
        </w:rPr>
        <w:t>的实施条件、实施程序、运作安排、投资安排、特定资产的处置变现和支付等对投资者权益有重大影响的事项详见招募说明书的规定。</w:t>
      </w:r>
    </w:p>
    <w:p w14:paraId="1753EE0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（三）基金托管人</w:t>
      </w:r>
      <w:bookmarkStart w:id="6" w:name="OLE_LINK1"/>
      <w:r>
        <w:rPr>
          <w:rFonts w:asciiTheme="minorEastAsia" w:eastAsiaTheme="minorEastAsia" w:hAnsiTheme="minorEastAsia" w:cs="Arial" w:hint="eastAsia"/>
          <w:szCs w:val="21"/>
        </w:rPr>
        <w:t>根据有关法律法规的规定及《基金合同》的约定，</w:t>
      </w:r>
      <w:bookmarkEnd w:id="6"/>
      <w:r>
        <w:rPr>
          <w:rFonts w:asciiTheme="minorEastAsia" w:eastAsiaTheme="minorEastAsia" w:hAnsiTheme="minorEastAsia" w:cs="Arial" w:hint="eastAsia"/>
          <w:szCs w:val="21"/>
        </w:rPr>
        <w:t>对本托管协议第十五条第九款基金投资禁止行为通过事后监督方式进行监督。</w:t>
      </w:r>
    </w:p>
    <w:p w14:paraId="09DFEDAC" w14:textId="77777777" w:rsidR="002B077A" w:rsidRDefault="00DB509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cs="Arial" w:hint="eastAsia"/>
          <w:szCs w:val="21"/>
        </w:rPr>
        <w:t>基金管理人运用基金财产买卖基金管理人、基金托管人及其控股股东、实际控制人或者与其有其他重大利害关系的公司发行的证券或者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EAD928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lastRenderedPageBreak/>
        <w:t>（四）基金托管人根据有关法律法规的规定及《基金合同》的约定，对基金管理人投资流通受限证券进行监督。</w:t>
      </w:r>
    </w:p>
    <w:p w14:paraId="13DA79D1"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基金管理人投资流通受限证券，应事先根据中国证监会相关规定，明确基金投资流通受限证券的比例，制订严格的投资决策流程和风险控制制度，防范流动性风险、法律风险和操作风险等各种风险。</w:t>
      </w:r>
    </w:p>
    <w:p w14:paraId="3F8012A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本基金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w:t>
      </w:r>
      <w:proofErr w:type="gramStart"/>
      <w:r>
        <w:rPr>
          <w:rFonts w:asciiTheme="minorEastAsia" w:eastAsiaTheme="minorEastAsia" w:hAnsiTheme="minorEastAsia" w:cs="Arial" w:hint="eastAsia"/>
          <w:szCs w:val="21"/>
        </w:rPr>
        <w:t>券</w:t>
      </w:r>
      <w:proofErr w:type="gramEnd"/>
      <w:r>
        <w:rPr>
          <w:rFonts w:asciiTheme="minorEastAsia" w:eastAsiaTheme="minorEastAsia" w:hAnsiTheme="minorEastAsia" w:cs="Arial" w:hint="eastAsia"/>
          <w:szCs w:val="21"/>
        </w:rPr>
        <w:t>等流通受限证券。本基金不投资有</w:t>
      </w:r>
      <w:proofErr w:type="gramStart"/>
      <w:r>
        <w:rPr>
          <w:rFonts w:asciiTheme="minorEastAsia" w:eastAsiaTheme="minorEastAsia" w:hAnsiTheme="minorEastAsia" w:cs="Arial" w:hint="eastAsia"/>
          <w:szCs w:val="21"/>
        </w:rPr>
        <w:t>锁定期但锁定</w:t>
      </w:r>
      <w:proofErr w:type="gramEnd"/>
      <w:r>
        <w:rPr>
          <w:rFonts w:asciiTheme="minorEastAsia" w:eastAsiaTheme="minorEastAsia" w:hAnsiTheme="minorEastAsia" w:cs="Arial" w:hint="eastAsia"/>
          <w:szCs w:val="21"/>
        </w:rPr>
        <w:t>期不明确的证券。</w:t>
      </w:r>
    </w:p>
    <w:p w14:paraId="2F596931"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本基金投资的流通受限证券限于可由中国证券登记结算有限责任公司或中央国债登记结算有限责任公司负责登记和存管，并可在证券交易所或全国银行间债券市场交易的证券。</w:t>
      </w:r>
    </w:p>
    <w:p w14:paraId="1425375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本基金投资的流通受限证券应保证登记存管在本基金名下，基金管理人负责相关工作的落实和协调，并确保基金托管人能够正常查询。因基金管理</w:t>
      </w:r>
      <w:proofErr w:type="gramStart"/>
      <w:r>
        <w:rPr>
          <w:rFonts w:asciiTheme="minorEastAsia" w:eastAsiaTheme="minorEastAsia" w:hAnsiTheme="minorEastAsia" w:cs="Arial" w:hint="eastAsia"/>
          <w:szCs w:val="21"/>
        </w:rPr>
        <w:t>人原因</w:t>
      </w:r>
      <w:proofErr w:type="gramEnd"/>
      <w:r>
        <w:rPr>
          <w:rFonts w:asciiTheme="minorEastAsia" w:eastAsiaTheme="minorEastAsia" w:hAnsiTheme="minorEastAsia" w:cs="Arial" w:hint="eastAsia"/>
          <w:szCs w:val="21"/>
        </w:rPr>
        <w:t>产生的流通受限证券登记存管问题，造成基金托管人无法安全保管本基金资产的责任与损失，及因流通受限证券存管直接影响本基金安全的责任及损失，由基金管理人承担。</w:t>
      </w:r>
    </w:p>
    <w:p w14:paraId="72C8194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本基金投资流通受限证券，不得预付任何形式的保证金，</w:t>
      </w:r>
      <w:proofErr w:type="gramStart"/>
      <w:r>
        <w:rPr>
          <w:rFonts w:asciiTheme="minorEastAsia" w:eastAsiaTheme="minorEastAsia" w:hAnsiTheme="minorEastAsia" w:cs="Arial" w:hint="eastAsia"/>
          <w:szCs w:val="21"/>
        </w:rPr>
        <w:t>若法规</w:t>
      </w:r>
      <w:proofErr w:type="gramEnd"/>
      <w:r>
        <w:rPr>
          <w:rFonts w:asciiTheme="minorEastAsia" w:eastAsiaTheme="minorEastAsia" w:hAnsiTheme="minorEastAsia" w:cs="Arial" w:hint="eastAsia"/>
          <w:szCs w:val="21"/>
        </w:rPr>
        <w:t>有新规定的按照新的规定执行。</w:t>
      </w:r>
    </w:p>
    <w:p w14:paraId="017FC15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w:t>
      </w:r>
    </w:p>
    <w:p w14:paraId="1D29182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w:t>
      </w:r>
      <w:proofErr w:type="gramStart"/>
      <w:r>
        <w:rPr>
          <w:rFonts w:asciiTheme="minorEastAsia" w:eastAsiaTheme="minorEastAsia" w:hAnsiTheme="minorEastAsia" w:cs="Arial" w:hint="eastAsia"/>
          <w:szCs w:val="21"/>
        </w:rPr>
        <w:t>人原因</w:t>
      </w:r>
      <w:proofErr w:type="gramEnd"/>
      <w:r>
        <w:rPr>
          <w:rFonts w:asciiTheme="minorEastAsia" w:eastAsiaTheme="minorEastAsia" w:hAnsiTheme="minorEastAsia" w:cs="Arial" w:hint="eastAsia"/>
          <w:szCs w:val="21"/>
        </w:rPr>
        <w:t>导致本基金出现损失致使基金托管人承担连带赔偿责任的，基金管理人应赔偿基金托管人由此遭受的损失。</w:t>
      </w:r>
    </w:p>
    <w:p w14:paraId="4C8F3E3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本基金投资非公开发行股票，基金管理人应至少于投资前3个工作日向基金托管人提交有关书面资料，并保证向基金托管人提供的有关资料真实、准确、完整。有关资料如有调整，基金管理人应及时提供调整后的资料。上述书面资料包括但不限于：</w:t>
      </w:r>
    </w:p>
    <w:p w14:paraId="2E52D15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（1）中国证监会批准发行非公开发行股票的批准文件。</w:t>
      </w:r>
    </w:p>
    <w:p w14:paraId="3A358A1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（2）非公开发行股票有关发行数量、发行价格、锁定期等发行资料。</w:t>
      </w:r>
    </w:p>
    <w:p w14:paraId="32FF508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（3）基金拟认购的数量、价格、总成本、账面价值。</w:t>
      </w:r>
    </w:p>
    <w:p w14:paraId="07C0F90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4.基金管理人应在本基金投资非公开发行股票后两个交易日内，在中国证监会规定媒介披露所投资非公开发行股票的名称、数量、总成本、账面价值，以及总成本和账面价值占基金</w:t>
      </w:r>
      <w:r>
        <w:rPr>
          <w:rFonts w:asciiTheme="minorEastAsia" w:eastAsiaTheme="minorEastAsia" w:hAnsiTheme="minorEastAsia" w:cs="Arial" w:hint="eastAsia"/>
          <w:szCs w:val="21"/>
        </w:rPr>
        <w:lastRenderedPageBreak/>
        <w:t>资产净值的比例、锁定期等信息。</w:t>
      </w:r>
    </w:p>
    <w:p w14:paraId="111F2F6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本基金有关投资流通受限证券比例如违反有关限制规定，在合理期限内未能进行及时调整，基金管理人应依据法律法规的规定在2个工作日内编制临时报告书，予以公告。</w:t>
      </w:r>
    </w:p>
    <w:p w14:paraId="746B624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5.相关法律法规对基金投资流通受限证券有新规定的，从其规定。</w:t>
      </w:r>
    </w:p>
    <w:p w14:paraId="56A63D6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五）基金托管人根据有关法律法规的规定及《基金合同》的约定，对基金资产净值计算、各类基金份额净值计算、应收资金到账、基金费用开支及收入确定、基金收益分配、相关信息披露、基金宣传推介材料中登载基金业绩表现数据等进行监督和核查。</w:t>
      </w:r>
    </w:p>
    <w:p w14:paraId="428E326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六）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14:paraId="64310DD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七）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14:paraId="48EC91D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（八）</w:t>
      </w:r>
      <w:proofErr w:type="gramStart"/>
      <w:r>
        <w:rPr>
          <w:rFonts w:asciiTheme="minorEastAsia" w:eastAsiaTheme="minorEastAsia" w:hAnsiTheme="minorEastAsia" w:cs="Arial" w:hint="eastAsia"/>
          <w:szCs w:val="21"/>
        </w:rPr>
        <w:t>若基金</w:t>
      </w:r>
      <w:proofErr w:type="gramEnd"/>
      <w:r>
        <w:rPr>
          <w:rFonts w:asciiTheme="minorEastAsia" w:eastAsiaTheme="minorEastAsia" w:hAnsiTheme="minorEastAsia" w:cs="Arial" w:hint="eastAsia"/>
          <w:szCs w:val="21"/>
        </w:rPr>
        <w:t>托管人发现基金管理人依据交易程序已经生效的指令违反法律、行政法规和其他有关规定，或者违反《基金合同》约定的，应当立即通知基金管理人，由此造成的损失由基金管理人承担。</w:t>
      </w:r>
    </w:p>
    <w:p w14:paraId="36A41A2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九）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bookmarkStart w:id="7" w:name="_Toc86225291"/>
      <w:bookmarkStart w:id="8" w:name="_Toc86223242"/>
      <w:bookmarkStart w:id="9" w:name="_Toc108512358"/>
      <w:bookmarkStart w:id="10" w:name="_Toc110830492"/>
      <w:bookmarkStart w:id="11" w:name="_Toc86727355"/>
      <w:bookmarkStart w:id="12" w:name="_Toc89163368"/>
      <w:bookmarkStart w:id="13" w:name="_Toc110761796"/>
      <w:bookmarkStart w:id="14" w:name="_Toc118972648"/>
      <w:bookmarkStart w:id="15" w:name="_Toc86737929"/>
      <w:bookmarkStart w:id="16" w:name="_Toc86726439"/>
      <w:bookmarkStart w:id="17" w:name="_Toc119402710"/>
      <w:bookmarkStart w:id="18" w:name="_Toc86649722"/>
      <w:bookmarkStart w:id="19" w:name="_Toc110765660"/>
      <w:bookmarkStart w:id="20" w:name="_Toc118212950"/>
      <w:bookmarkStart w:id="21" w:name="_Toc120435783"/>
      <w:bookmarkStart w:id="22" w:name="_Toc118774803"/>
      <w:r>
        <w:rPr>
          <w:rFonts w:asciiTheme="minorEastAsia" w:eastAsiaTheme="minorEastAsia" w:hAnsiTheme="minorEastAsia" w:cs="Arial"/>
          <w:szCs w:val="21"/>
        </w:rPr>
        <w:br w:type="page"/>
      </w:r>
    </w:p>
    <w:p w14:paraId="508B5E32"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23" w:name="_Toc520904537"/>
      <w:r>
        <w:rPr>
          <w:rFonts w:asciiTheme="minorEastAsia" w:eastAsiaTheme="minorEastAsia" w:hAnsiTheme="minorEastAsia" w:hint="eastAsia"/>
          <w:sz w:val="21"/>
          <w:szCs w:val="21"/>
        </w:rPr>
        <w:lastRenderedPageBreak/>
        <w:t>四、基金管理人对基金托管人的业务核查</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0DA987D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一）基金管理人对基金托管人履行托管职责情况进行核查，核查事项包括基金托管人安全保管基金财产、开设基金财产的资金账户和证券账户等投资所需账户、复核基金管理人计算的基金资产净值和各类基金份额净值、根据基金管理人指令办理清算交收、相关信息披露和监督基金投资运作等行为。</w:t>
      </w:r>
    </w:p>
    <w:p w14:paraId="3BCC4D1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Pr>
          <w:rFonts w:asciiTheme="minorEastAsia" w:eastAsiaTheme="minorEastAsia" w:hAnsiTheme="minorEastAsia" w:cs="Arial" w:hint="eastAsia"/>
          <w:szCs w:val="21"/>
        </w:rPr>
        <w:t>供基金</w:t>
      </w:r>
      <w:proofErr w:type="gramEnd"/>
      <w:r>
        <w:rPr>
          <w:rFonts w:asciiTheme="minorEastAsia" w:eastAsiaTheme="minorEastAsia" w:hAnsiTheme="minorEastAsia" w:cs="Arial" w:hint="eastAsia"/>
          <w:szCs w:val="21"/>
        </w:rPr>
        <w:t>管理人核查托管财产的完整性和真实性，在规定时间内答复基金管理人并改正。</w:t>
      </w:r>
    </w:p>
    <w:p w14:paraId="27B6685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14:paraId="1BCD842F" w14:textId="77777777" w:rsidR="002B077A" w:rsidRDefault="002B077A">
      <w:pPr>
        <w:spacing w:line="360" w:lineRule="auto"/>
        <w:rPr>
          <w:rFonts w:asciiTheme="minorEastAsia" w:eastAsiaTheme="minorEastAsia" w:hAnsiTheme="minorEastAsia"/>
          <w:szCs w:val="21"/>
        </w:rPr>
      </w:pPr>
    </w:p>
    <w:p w14:paraId="3654C9DB" w14:textId="77777777" w:rsidR="002B077A" w:rsidRDefault="00DB5093">
      <w:pPr>
        <w:widowControl/>
        <w:spacing w:line="360" w:lineRule="auto"/>
        <w:jc w:val="left"/>
        <w:rPr>
          <w:rFonts w:asciiTheme="minorEastAsia" w:eastAsiaTheme="minorEastAsia" w:hAnsiTheme="minorEastAsia"/>
          <w:b/>
          <w:szCs w:val="21"/>
        </w:rPr>
      </w:pPr>
      <w:bookmarkStart w:id="24" w:name="_Toc110830493"/>
      <w:bookmarkStart w:id="25" w:name="_Toc86225292"/>
      <w:bookmarkStart w:id="26" w:name="_Toc86727356"/>
      <w:bookmarkStart w:id="27" w:name="_Toc118212951"/>
      <w:bookmarkStart w:id="28" w:name="_Toc89163369"/>
      <w:bookmarkStart w:id="29" w:name="_Toc110761797"/>
      <w:bookmarkStart w:id="30" w:name="_Toc110765661"/>
      <w:bookmarkStart w:id="31" w:name="_Toc86223243"/>
      <w:bookmarkStart w:id="32" w:name="_Toc86649723"/>
      <w:bookmarkStart w:id="33" w:name="_Toc86726440"/>
      <w:bookmarkStart w:id="34" w:name="_Toc86737930"/>
      <w:bookmarkStart w:id="35" w:name="_Toc108512359"/>
      <w:bookmarkStart w:id="36" w:name="_Toc118774804"/>
      <w:bookmarkStart w:id="37" w:name="_Toc118972649"/>
      <w:bookmarkStart w:id="38" w:name="_Toc120435784"/>
      <w:bookmarkStart w:id="39" w:name="_Toc119402711"/>
      <w:bookmarkStart w:id="40" w:name="_Toc84234435"/>
      <w:bookmarkStart w:id="41" w:name="_Toc86204789"/>
      <w:bookmarkStart w:id="42" w:name="_Toc84133786"/>
      <w:bookmarkStart w:id="43" w:name="_Toc84234388"/>
      <w:r>
        <w:rPr>
          <w:rFonts w:asciiTheme="minorEastAsia" w:eastAsiaTheme="minorEastAsia" w:hAnsiTheme="minorEastAsia"/>
          <w:szCs w:val="21"/>
        </w:rPr>
        <w:br w:type="page"/>
      </w:r>
    </w:p>
    <w:p w14:paraId="6DD094AC"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44" w:name="_Toc520904538"/>
      <w:r>
        <w:rPr>
          <w:rFonts w:asciiTheme="minorEastAsia" w:eastAsiaTheme="minorEastAsia" w:hAnsiTheme="minorEastAsia" w:hint="eastAsia"/>
          <w:sz w:val="21"/>
          <w:szCs w:val="21"/>
        </w:rPr>
        <w:lastRenderedPageBreak/>
        <w:t>五、基金财产的保管</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75E47A9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（一）基金财产保管的原则</w:t>
      </w:r>
    </w:p>
    <w:p w14:paraId="593F4F6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1.基金财产应独立于基金管理人、基金托管人的固有财产。</w:t>
      </w:r>
    </w:p>
    <w:p w14:paraId="6CD672A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2.基金托管人应安全保管基金财产。</w:t>
      </w:r>
    </w:p>
    <w:p w14:paraId="79F8F54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3.基金托管人按照规定开设基金财产的资金账户和证券账户等投资所需账户。</w:t>
      </w:r>
    </w:p>
    <w:p w14:paraId="5EE7E21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4.基金托管人对所托管的不同基金财产分别设置账户，独立核算，确保基金财产的完整与独立。</w:t>
      </w:r>
    </w:p>
    <w:p w14:paraId="00D9791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5.基金托管人按照《基金合同》和本协议的约定保管基金财产，如有特殊情况双方可另行协商解决。基金托管人未经基金管理人的指令，不得自行运用、处分、分配本基金的任何资产（不包含基金托管人依据中国证券登记结算有限责任公司结算数据完成场内交易交收、开户银行或交易/登记结算机构扣</w:t>
      </w:r>
      <w:proofErr w:type="gramStart"/>
      <w:r>
        <w:rPr>
          <w:rFonts w:asciiTheme="minorEastAsia" w:eastAsiaTheme="minorEastAsia" w:hAnsiTheme="minorEastAsia" w:cs="Arial" w:hint="eastAsia"/>
          <w:szCs w:val="21"/>
        </w:rPr>
        <w:t>收交易</w:t>
      </w:r>
      <w:proofErr w:type="gramEnd"/>
      <w:r>
        <w:rPr>
          <w:rFonts w:asciiTheme="minorEastAsia" w:eastAsiaTheme="minorEastAsia" w:hAnsiTheme="minorEastAsia" w:cs="Arial" w:hint="eastAsia"/>
          <w:szCs w:val="21"/>
        </w:rPr>
        <w:t>费、结算费和账户维护费等费用）。</w:t>
      </w:r>
    </w:p>
    <w:p w14:paraId="3206BD3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6.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法律法规另有规定的除外。</w:t>
      </w:r>
    </w:p>
    <w:p w14:paraId="4796F09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7.除依据法律法规和《基金合同》的规定外，基金托管人不得委托第三人托管基金财产。</w:t>
      </w:r>
    </w:p>
    <w:p w14:paraId="0498492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（二）基金募集期间及募集资金的验资</w:t>
      </w:r>
    </w:p>
    <w:p w14:paraId="613C189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1.基金募集期间募集的资金应存于基金管理人在基金托管人的营业机构开立的“基金募集专户”。该账户由基金管理人开立并管理。</w:t>
      </w:r>
    </w:p>
    <w:p w14:paraId="598933FF" w14:textId="04C55F38"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募集期满或基金停止募集时，募集的基金份额总额、基金募集金额、基金份额持有人人数符合《基金法》、《运作办法》等有关规定后，基金管理人应将属于基金财产的全部资金划入基金托管人开立的基金托管资金账户，同时在规定时间内，聘请符合《证券法》规定的会计师事务所进行验资，出具验资报告。出具的验资报告由参加验资的2名或2名以上中国注册会计师签字方为有效。</w:t>
      </w:r>
    </w:p>
    <w:p w14:paraId="3888312B" w14:textId="22E29820"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w:t>
      </w:r>
      <w:proofErr w:type="gramStart"/>
      <w:r>
        <w:rPr>
          <w:rFonts w:asciiTheme="minorEastAsia" w:eastAsiaTheme="minorEastAsia" w:hAnsiTheme="minorEastAsia" w:cs="Arial" w:hint="eastAsia"/>
          <w:szCs w:val="21"/>
        </w:rPr>
        <w:t>若基金</w:t>
      </w:r>
      <w:proofErr w:type="gramEnd"/>
      <w:r>
        <w:rPr>
          <w:rFonts w:asciiTheme="minorEastAsia" w:eastAsiaTheme="minorEastAsia" w:hAnsiTheme="minorEastAsia" w:cs="Arial" w:hint="eastAsia"/>
          <w:szCs w:val="21"/>
        </w:rPr>
        <w:t>募集期限届满，未能达到《基金合同》生效的条件，由基金管理人按规定办理退款等事宜。</w:t>
      </w:r>
    </w:p>
    <w:p w14:paraId="4DB72905" w14:textId="69F2C09D"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（三）基金托管资金账户的开立和管理</w:t>
      </w:r>
    </w:p>
    <w:p w14:paraId="49707E3D" w14:textId="20D441B2" w:rsidR="002B077A" w:rsidRDefault="00DB5093">
      <w:pPr>
        <w:adjustRightInd w:val="0"/>
        <w:snapToGrid w:val="0"/>
        <w:spacing w:line="360" w:lineRule="auto"/>
        <w:ind w:firstLineChars="200" w:firstLine="420"/>
        <w:rPr>
          <w:rFonts w:asciiTheme="minorEastAsia" w:eastAsiaTheme="minorEastAsia" w:hAnsiTheme="minorEastAsia" w:cs="Arial"/>
          <w:szCs w:val="21"/>
        </w:rPr>
      </w:pPr>
      <w:bookmarkStart w:id="45" w:name="_Hlk129960756"/>
      <w:r>
        <w:rPr>
          <w:rFonts w:asciiTheme="minorEastAsia" w:eastAsiaTheme="minorEastAsia" w:hAnsiTheme="minorEastAsia" w:cs="Arial" w:hint="eastAsia"/>
          <w:szCs w:val="21"/>
        </w:rPr>
        <w:t>1.基金托管人以基金的名义在其营业机构开立基金的托管资金账户，并根据基金管理人合法合</w:t>
      </w:r>
      <w:proofErr w:type="gramStart"/>
      <w:r>
        <w:rPr>
          <w:rFonts w:asciiTheme="minorEastAsia" w:eastAsiaTheme="minorEastAsia" w:hAnsiTheme="minorEastAsia" w:cs="Arial" w:hint="eastAsia"/>
          <w:szCs w:val="21"/>
        </w:rPr>
        <w:t>规</w:t>
      </w:r>
      <w:proofErr w:type="gramEnd"/>
      <w:r>
        <w:rPr>
          <w:rFonts w:asciiTheme="minorEastAsia" w:eastAsiaTheme="minorEastAsia" w:hAnsiTheme="minorEastAsia" w:cs="Arial" w:hint="eastAsia"/>
          <w:szCs w:val="21"/>
        </w:rPr>
        <w:t>的指令办理资金收付。本基金的银行预留印鉴由基金托管人保管和使用。</w:t>
      </w:r>
    </w:p>
    <w:p w14:paraId="6BE39F04" w14:textId="09E90A68"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2.基金托管资金账户的开立和使用，限于满足开展本基金业务的需要。基金托管人和基金管理人不得假借本基金的名义开立任何其他银行账户；亦不得使用基金的任何账户进行本基金业务以外的活动。</w:t>
      </w:r>
    </w:p>
    <w:p w14:paraId="572C67AC" w14:textId="4C40E8DC"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3.基金托管资金账户的开立和管理应符合银行业监督管理机构的有关规定。</w:t>
      </w:r>
    </w:p>
    <w:p w14:paraId="4A3039A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4.在符合法律法规规定的条件下，基金托管人可以通过基金托管人专用账户办理基金资</w:t>
      </w:r>
      <w:r>
        <w:rPr>
          <w:rFonts w:asciiTheme="minorEastAsia" w:eastAsiaTheme="minorEastAsia" w:hAnsiTheme="minorEastAsia" w:cs="Arial" w:hint="eastAsia"/>
          <w:szCs w:val="21"/>
        </w:rPr>
        <w:lastRenderedPageBreak/>
        <w:t>产的支付。</w:t>
      </w:r>
    </w:p>
    <w:p w14:paraId="37200CE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5.管理人应于托管产品清盘后及时完成收益兑付、费用结清及其他应收应付款项资金划转，在确保后续不再发生款项进出后的10个工作日内向托管人发出销户申请。</w:t>
      </w:r>
    </w:p>
    <w:bookmarkEnd w:id="45"/>
    <w:p w14:paraId="639C39A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（四）基金证券账户和结算备付金账户的开立和管理</w:t>
      </w:r>
    </w:p>
    <w:p w14:paraId="7B5CDB4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1.基金托管人在中国证券登记结算有限责任公司为基金开立基金托管人与基金联名的证券账户。</w:t>
      </w:r>
    </w:p>
    <w:p w14:paraId="3454957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14:paraId="2BF8023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3.基金证券账户的开立和证券账户卡的保管由基金托管人负责，账户资产的管理和运用由基金管理人负责。</w:t>
      </w:r>
    </w:p>
    <w:p w14:paraId="647A43C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证券账户开户费由基金管理人先行垫付,</w:t>
      </w:r>
      <w:proofErr w:type="gramStart"/>
      <w:r>
        <w:rPr>
          <w:rFonts w:asciiTheme="minorEastAsia" w:eastAsiaTheme="minorEastAsia" w:hAnsiTheme="minorEastAsia" w:cs="Arial" w:hint="eastAsia"/>
          <w:szCs w:val="21"/>
        </w:rPr>
        <w:t>待本基金</w:t>
      </w:r>
      <w:proofErr w:type="gramEnd"/>
      <w:r>
        <w:rPr>
          <w:rFonts w:asciiTheme="minorEastAsia" w:eastAsiaTheme="minorEastAsia" w:hAnsiTheme="minorEastAsia" w:cs="Arial" w:hint="eastAsia"/>
          <w:szCs w:val="21"/>
        </w:rPr>
        <w:t>启始运营后,基金管理人可向基金托管人发送划款指令,将代垫开户费从本基金托管资金账户中扣还基金管理人。</w:t>
      </w:r>
    </w:p>
    <w:p w14:paraId="4187524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w:t>
      </w:r>
      <w:proofErr w:type="gramStart"/>
      <w:r>
        <w:rPr>
          <w:rFonts w:asciiTheme="minorEastAsia" w:eastAsiaTheme="minorEastAsia" w:hAnsiTheme="minorEastAsia" w:cs="Arial" w:hint="eastAsia"/>
          <w:szCs w:val="21"/>
        </w:rPr>
        <w:t>收资金</w:t>
      </w:r>
      <w:proofErr w:type="gramEnd"/>
      <w:r>
        <w:rPr>
          <w:rFonts w:asciiTheme="minorEastAsia" w:eastAsiaTheme="minorEastAsia" w:hAnsiTheme="minorEastAsia" w:cs="Arial" w:hint="eastAsia"/>
          <w:szCs w:val="21"/>
        </w:rPr>
        <w:t>等的收取按照中国证券登记结算有限责任公司的规定以及基金管理人与基金托管人签署的《托管银行证券资金结算协议》执行。</w:t>
      </w:r>
    </w:p>
    <w:p w14:paraId="7F6B787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5</w:t>
      </w:r>
      <w:r>
        <w:rPr>
          <w:rFonts w:asciiTheme="minorEastAsia" w:eastAsiaTheme="minorEastAsia" w:hAnsiTheme="minorEastAsia" w:cs="Arial"/>
          <w:szCs w:val="21"/>
        </w:rPr>
        <w:t>.</w:t>
      </w:r>
      <w:r>
        <w:rPr>
          <w:rFonts w:asciiTheme="minorEastAsia" w:eastAsiaTheme="minorEastAsia" w:hAnsiTheme="minorEastAsia" w:cs="Arial" w:hint="eastAsia"/>
          <w:szCs w:val="21"/>
        </w:rPr>
        <w:t>账户注销时，在遵守中国证券登记结算公司的相关规定下，由基金管理人和基金托管人协商确认主要办理人。账户注销期间，主要办理人如需另一方提供配合的，另一方应予以配合。</w:t>
      </w:r>
    </w:p>
    <w:p w14:paraId="58F8E91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szCs w:val="21"/>
        </w:rPr>
        <w:t>6</w:t>
      </w:r>
      <w:r>
        <w:rPr>
          <w:rFonts w:asciiTheme="minorEastAsia" w:eastAsiaTheme="minorEastAsia" w:hAnsiTheme="minorEastAsia" w:cs="Arial" w:hint="eastAsia"/>
          <w:szCs w:val="21"/>
        </w:rPr>
        <w:t>.若中国证监会或其他监管机构在本托管协议订立日之后允许基金从事其他投资品种的投资业务，涉及相关账户的开立、使用的，若无相关规定，</w:t>
      </w:r>
      <w:proofErr w:type="gramStart"/>
      <w:r>
        <w:rPr>
          <w:rFonts w:asciiTheme="minorEastAsia" w:eastAsiaTheme="minorEastAsia" w:hAnsiTheme="minorEastAsia" w:cs="Arial" w:hint="eastAsia"/>
          <w:szCs w:val="21"/>
        </w:rPr>
        <w:t>则基金</w:t>
      </w:r>
      <w:proofErr w:type="gramEnd"/>
      <w:r>
        <w:rPr>
          <w:rFonts w:asciiTheme="minorEastAsia" w:eastAsiaTheme="minorEastAsia" w:hAnsiTheme="minorEastAsia" w:cs="Arial" w:hint="eastAsia"/>
          <w:szCs w:val="21"/>
        </w:rPr>
        <w:t>托管人比照上述关于账户开立、使用的规定执行。</w:t>
      </w:r>
    </w:p>
    <w:p w14:paraId="6013B175" w14:textId="4F4DECF3"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（五）银行间账户的开设和管理</w:t>
      </w:r>
    </w:p>
    <w:p w14:paraId="04DD3A94" w14:textId="347194D8"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和资金结算专户，并代表基金进行银行间市场债券的结算。基金管理人代表基金签订全国银行间债券市场债券回购主协议。</w:t>
      </w:r>
    </w:p>
    <w:p w14:paraId="794B041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（六）其他账户的开立和管理</w:t>
      </w:r>
    </w:p>
    <w:p w14:paraId="4DE992A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在本托管协议订立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14:paraId="14AC849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2.法律法规等有关规定对相关账户的开立和管理另有规定的，从其规定办理。</w:t>
      </w:r>
    </w:p>
    <w:p w14:paraId="39664501"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（七）基金财产投资的有关有价凭证等的保管</w:t>
      </w:r>
    </w:p>
    <w:p w14:paraId="23721626" w14:textId="6D7581F2"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lastRenderedPageBreak/>
        <w:t>基金财产投资的有关实物证券、银行存款开户证实书等有价凭证由基金托管人存放于基金托管人的保管库，也可存入</w:t>
      </w:r>
      <w:r w:rsidRPr="005E1A5B">
        <w:rPr>
          <w:rFonts w:asciiTheme="minorEastAsia" w:eastAsiaTheme="minorEastAsia" w:hAnsiTheme="minorEastAsia" w:cs="Arial" w:hint="eastAsia"/>
          <w:szCs w:val="21"/>
        </w:rPr>
        <w:t>法律法规有关规定允许的</w:t>
      </w:r>
      <w:proofErr w:type="gramStart"/>
      <w:r w:rsidRPr="005E1A5B">
        <w:rPr>
          <w:rFonts w:asciiTheme="minorEastAsia" w:eastAsiaTheme="minorEastAsia" w:hAnsiTheme="minorEastAsia" w:cs="Arial" w:hint="eastAsia"/>
          <w:szCs w:val="21"/>
        </w:rPr>
        <w:t>各类</w:t>
      </w:r>
      <w:r>
        <w:rPr>
          <w:rFonts w:asciiTheme="minorEastAsia" w:eastAsiaTheme="minorEastAsia" w:hAnsiTheme="minorEastAsia" w:cs="Arial" w:hint="eastAsia"/>
          <w:szCs w:val="21"/>
        </w:rPr>
        <w:t>代保管</w:t>
      </w:r>
      <w:proofErr w:type="gramEnd"/>
      <w:r>
        <w:rPr>
          <w:rFonts w:asciiTheme="minorEastAsia" w:eastAsiaTheme="minorEastAsia" w:hAnsiTheme="minorEastAsia" w:cs="Arial" w:hint="eastAsia"/>
          <w:szCs w:val="21"/>
        </w:rPr>
        <w:t>库，保管凭证由基金托管人持有。实物证券、银行定期存款证实书等有价凭证的购买和转让，按基金管理人和基金托管人双方约定办理。基金托管人对由基金托管人以外机构实际有效控制或保管的资产不承担任何责任。</w:t>
      </w:r>
    </w:p>
    <w:p w14:paraId="290ABF7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（八）与基金财产有关的重大合同的保管</w:t>
      </w:r>
    </w:p>
    <w:p w14:paraId="1C60DF1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将重大合同传真给基金托管人，并在30个工作日内将正本送达基金托管人处。重大合同的保管期限为《基金合同》终止后，保存期限不少于法律法规规定的最低期限。</w:t>
      </w:r>
    </w:p>
    <w:p w14:paraId="4B5AAC60" w14:textId="77777777" w:rsidR="002B077A" w:rsidRDefault="002B077A">
      <w:pPr>
        <w:spacing w:line="360" w:lineRule="auto"/>
        <w:rPr>
          <w:rFonts w:asciiTheme="minorEastAsia" w:eastAsiaTheme="minorEastAsia" w:hAnsiTheme="minorEastAsia"/>
          <w:szCs w:val="21"/>
        </w:rPr>
      </w:pPr>
    </w:p>
    <w:p w14:paraId="7093BBDC" w14:textId="77777777" w:rsidR="002B077A" w:rsidRDefault="00DB5093">
      <w:pPr>
        <w:widowControl/>
        <w:spacing w:line="360" w:lineRule="auto"/>
        <w:jc w:val="left"/>
        <w:rPr>
          <w:rFonts w:asciiTheme="minorEastAsia" w:eastAsiaTheme="minorEastAsia" w:hAnsiTheme="minorEastAsia"/>
          <w:b/>
          <w:szCs w:val="21"/>
        </w:rPr>
      </w:pPr>
      <w:bookmarkStart w:id="46" w:name="_Toc89163370"/>
      <w:bookmarkStart w:id="47" w:name="_Toc108512360"/>
      <w:bookmarkStart w:id="48" w:name="_Toc84234389"/>
      <w:bookmarkStart w:id="49" w:name="_Toc86737931"/>
      <w:bookmarkStart w:id="50" w:name="_Toc118774805"/>
      <w:bookmarkStart w:id="51" w:name="_Toc119402712"/>
      <w:bookmarkStart w:id="52" w:name="_Toc118212952"/>
      <w:bookmarkStart w:id="53" w:name="_Toc86726441"/>
      <w:bookmarkStart w:id="54" w:name="_Toc110830494"/>
      <w:bookmarkStart w:id="55" w:name="_Toc118972650"/>
      <w:bookmarkStart w:id="56" w:name="_Toc86727357"/>
      <w:bookmarkStart w:id="57" w:name="_Toc120435785"/>
      <w:bookmarkStart w:id="58" w:name="_Toc86225293"/>
      <w:bookmarkStart w:id="59" w:name="_Toc84234436"/>
      <w:bookmarkStart w:id="60" w:name="_Toc86649724"/>
      <w:bookmarkStart w:id="61" w:name="_Toc86204790"/>
      <w:bookmarkStart w:id="62" w:name="_Toc84133787"/>
      <w:bookmarkStart w:id="63" w:name="_Toc86223244"/>
      <w:bookmarkStart w:id="64" w:name="_Toc110761798"/>
      <w:bookmarkStart w:id="65" w:name="_Toc110765662"/>
      <w:r>
        <w:rPr>
          <w:rFonts w:asciiTheme="minorEastAsia" w:eastAsiaTheme="minorEastAsia" w:hAnsiTheme="minorEastAsia"/>
          <w:szCs w:val="21"/>
        </w:rPr>
        <w:br w:type="page"/>
      </w:r>
    </w:p>
    <w:p w14:paraId="6E9AD0B8"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66" w:name="_Toc520904539"/>
      <w:r>
        <w:rPr>
          <w:rFonts w:asciiTheme="minorEastAsia" w:eastAsiaTheme="minorEastAsia" w:hAnsiTheme="minorEastAsia" w:hint="eastAsia"/>
          <w:sz w:val="21"/>
          <w:szCs w:val="21"/>
        </w:rPr>
        <w:lastRenderedPageBreak/>
        <w:t>六、指令的发送、确认及执行</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44460EF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基金管理人在运用基金财产时向基金托管人发送资金划拨及其他款项付款指令，基金托管人执行基金管理人的指令、办理基金名下的资金往来等有关事项。</w:t>
      </w:r>
    </w:p>
    <w:p w14:paraId="4EB8F7C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（一）基金管理人对发送指令人员的书面授权</w:t>
      </w:r>
    </w:p>
    <w:p w14:paraId="2905F27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1.基金管理人应指定专人向基金托管人发送指令。</w:t>
      </w:r>
    </w:p>
    <w:p w14:paraId="6433BE6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2.基金管理人应向基金托管人提供书面授权文件原件，内容包括被授权人名单、预留印鉴及被授权人签字样本，授权文件应注明被授权人相应的权限，并加盖单位公章。</w:t>
      </w:r>
    </w:p>
    <w:p w14:paraId="070F4DE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14:paraId="712D7A2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4.基金管理人和基金托管人对授权文件负有保密义务，其内容不得向被授权人及相关操作人员以外的任何人泄露。但法律法规规定或有权机关要求的除外。</w:t>
      </w:r>
    </w:p>
    <w:p w14:paraId="78B40A1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（二）指令的内容</w:t>
      </w:r>
    </w:p>
    <w:p w14:paraId="2DF367E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1.指令包括付款指令以及其他资金划拨指令等。</w:t>
      </w:r>
    </w:p>
    <w:p w14:paraId="6DE6ADA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2.基金管理人发给基金托管人的指令应写明款项事由、支付时间、到账时间、金额、</w:t>
      </w:r>
      <w:r w:rsidRPr="009F63E6">
        <w:rPr>
          <w:rFonts w:asciiTheme="minorEastAsia" w:eastAsiaTheme="minorEastAsia" w:hAnsiTheme="minorEastAsia" w:cs="Arial" w:hint="eastAsia"/>
          <w:szCs w:val="21"/>
        </w:rPr>
        <w:t>收付款</w:t>
      </w:r>
      <w:r>
        <w:rPr>
          <w:rFonts w:asciiTheme="minorEastAsia" w:eastAsiaTheme="minorEastAsia" w:hAnsiTheme="minorEastAsia" w:cs="Arial" w:hint="eastAsia"/>
          <w:szCs w:val="21"/>
        </w:rPr>
        <w:t>账户等，加盖预留印鉴并由被授权人签字。</w:t>
      </w:r>
    </w:p>
    <w:p w14:paraId="5152F14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（三）指令的发送、确认及执行的时间和程序</w:t>
      </w:r>
    </w:p>
    <w:p w14:paraId="75FE5E3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1.指令的发送</w:t>
      </w:r>
    </w:p>
    <w:p w14:paraId="3A71841A" w14:textId="500713DA"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基金管理人发送指令应采用传真方式或双方协商一致的其他方式。</w:t>
      </w:r>
    </w:p>
    <w:p w14:paraId="1B12FE1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14:paraId="42A9C8C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指令发出后，基金管理人应及时以电话方式向基金托管人确认。</w:t>
      </w:r>
    </w:p>
    <w:p w14:paraId="0688B57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应在银行间交易成交后，及时将通知单、相关文件及划款指令加盖印章后发至基金托管人并电话确认，由基金托管人完成后台交易匹配及资金交收事宜。如果银行间结算系统已经生成的交易需要取消或终止，基金管理人要书面通知基金托管人。</w:t>
      </w:r>
    </w:p>
    <w:p w14:paraId="45A6660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2.指令的确认</w:t>
      </w:r>
    </w:p>
    <w:p w14:paraId="1BA5058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14:paraId="24D267A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3.指令的时间和执行</w:t>
      </w:r>
    </w:p>
    <w:p w14:paraId="36DF80C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lastRenderedPageBreak/>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w:t>
      </w:r>
      <w:proofErr w:type="gramStart"/>
      <w:r>
        <w:rPr>
          <w:rFonts w:asciiTheme="minorEastAsia" w:eastAsiaTheme="minorEastAsia" w:hAnsiTheme="minorEastAsia" w:cs="Arial" w:hint="eastAsia"/>
          <w:szCs w:val="21"/>
        </w:rPr>
        <w:t>并相关</w:t>
      </w:r>
      <w:proofErr w:type="gramEnd"/>
      <w:r>
        <w:rPr>
          <w:rFonts w:asciiTheme="minorEastAsia" w:eastAsiaTheme="minorEastAsia" w:hAnsiTheme="minorEastAsia" w:cs="Arial" w:hint="eastAsia"/>
          <w:szCs w:val="21"/>
        </w:rPr>
        <w:t>付款条件已经具备。基金托管人将视付款条件具备时为指令送达时间。对新股申购网下发行业务，基金管理人应在网下申购缴款日(T日)的前一工作日下班前将指令发送给基金托管人，指令发送时间最迟不应晚于T日上午10:00。基金管理人应确保基金托管人在执行指令时，基金托管资金账户有足够的资金余额，在基金资金头寸充足的情况下，基金托管人对基金管理人符合法律法规、《基金合同》、本协议的指令不得拖延或拒绝执行。</w:t>
      </w:r>
    </w:p>
    <w:p w14:paraId="6B73E83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（四）基金管理人发送错误指令的情形和处理程序</w:t>
      </w:r>
    </w:p>
    <w:p w14:paraId="58A0054E" w14:textId="3A91849D"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基金管理人发送错误指令的情形包括指令违反法律法规、监管规定、《基金合同》或本协议的约定，或指令发送人员无权或超越权限发送指令。</w:t>
      </w:r>
    </w:p>
    <w:p w14:paraId="0DEB06B6" w14:textId="62E52D9F"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基金托管人发现基金管理人的指令错误时，有权拒绝执行，并及时通知基金管理人改正。</w:t>
      </w:r>
      <w:r w:rsidRPr="00FB17F4">
        <w:rPr>
          <w:rFonts w:asciiTheme="minorEastAsia" w:eastAsiaTheme="minorEastAsia" w:hAnsiTheme="minorEastAsia" w:cs="Arial" w:hint="eastAsia"/>
          <w:szCs w:val="21"/>
        </w:rPr>
        <w:t>如需托管人撤销尚未执行的指令，基金管理人应出具作废指令或作废说明，并电话通知</w:t>
      </w:r>
      <w:r w:rsidR="000B1860">
        <w:rPr>
          <w:rFonts w:asciiTheme="minorEastAsia" w:eastAsiaTheme="minorEastAsia" w:hAnsiTheme="minorEastAsia" w:cs="Arial" w:hint="eastAsia"/>
          <w:szCs w:val="21"/>
        </w:rPr>
        <w:t>基金</w:t>
      </w:r>
      <w:r w:rsidRPr="00FB17F4">
        <w:rPr>
          <w:rFonts w:asciiTheme="minorEastAsia" w:eastAsiaTheme="minorEastAsia" w:hAnsiTheme="minorEastAsia" w:cs="Arial" w:hint="eastAsia"/>
          <w:szCs w:val="21"/>
        </w:rPr>
        <w:t>托管人</w:t>
      </w:r>
      <w:r w:rsidR="000B1860">
        <w:rPr>
          <w:rFonts w:asciiTheme="minorEastAsia" w:eastAsiaTheme="minorEastAsia" w:hAnsiTheme="minorEastAsia" w:cs="Arial" w:hint="eastAsia"/>
          <w:szCs w:val="21"/>
        </w:rPr>
        <w:t>。</w:t>
      </w:r>
    </w:p>
    <w:p w14:paraId="70C69CAD" w14:textId="306B374B"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（五）基金托管人未按照基金管理人指令执行的处理方法</w:t>
      </w:r>
    </w:p>
    <w:p w14:paraId="4E07D5B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基金托管人由于自身过错，未按照基金管理人发送的符合法律法规、监管规定、《基金合同》和本协议约定的指令执行并对基金财产或投资人造成的直接损失，由基金托管人赔偿由此造成的直接损失。</w:t>
      </w:r>
    </w:p>
    <w:p w14:paraId="73723F80" w14:textId="7AC6B84A"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w:t>
      </w:r>
      <w:r w:rsidR="009F63E6">
        <w:rPr>
          <w:rFonts w:asciiTheme="minorEastAsia" w:eastAsiaTheme="minorEastAsia" w:hAnsiTheme="minorEastAsia" w:cs="Arial" w:hint="eastAsia"/>
          <w:szCs w:val="21"/>
        </w:rPr>
        <w:t>六</w:t>
      </w:r>
      <w:r>
        <w:rPr>
          <w:rFonts w:asciiTheme="minorEastAsia" w:eastAsiaTheme="minorEastAsia" w:hAnsiTheme="minorEastAsia" w:cs="Arial" w:hint="eastAsia"/>
          <w:szCs w:val="21"/>
        </w:rPr>
        <w:t>）更换被授权人员的程序</w:t>
      </w:r>
    </w:p>
    <w:p w14:paraId="00FAF589" w14:textId="0D141C42"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更换被授权人、更改或终止对被授权人的授权，应立即将新的加盖公章的授权文件以传真方式通知基金托管人，并经电话确认后生效，原授权文件同时废止。新的授权文件在传真发出后7个工作日内送达</w:t>
      </w:r>
      <w:r w:rsidR="000B1860">
        <w:rPr>
          <w:rFonts w:asciiTheme="minorEastAsia" w:eastAsiaTheme="minorEastAsia" w:hAnsiTheme="minorEastAsia" w:cs="Arial" w:hint="eastAsia"/>
          <w:szCs w:val="21"/>
        </w:rPr>
        <w:t>基金</w:t>
      </w:r>
      <w:r>
        <w:rPr>
          <w:rFonts w:asciiTheme="minorEastAsia" w:eastAsiaTheme="minorEastAsia" w:hAnsiTheme="minorEastAsia" w:cs="Arial" w:hint="eastAsia"/>
          <w:szCs w:val="21"/>
        </w:rPr>
        <w:t>托管</w:t>
      </w:r>
      <w:proofErr w:type="gramStart"/>
      <w:r>
        <w:rPr>
          <w:rFonts w:asciiTheme="minorEastAsia" w:eastAsiaTheme="minorEastAsia" w:hAnsiTheme="minorEastAsia" w:cs="Arial" w:hint="eastAsia"/>
          <w:szCs w:val="21"/>
        </w:rPr>
        <w:t>人文件</w:t>
      </w:r>
      <w:proofErr w:type="gramEnd"/>
      <w:r>
        <w:rPr>
          <w:rFonts w:asciiTheme="minorEastAsia" w:eastAsiaTheme="minorEastAsia" w:hAnsiTheme="minorEastAsia" w:cs="Arial" w:hint="eastAsia"/>
          <w:szCs w:val="21"/>
        </w:rPr>
        <w:t>正本。新的授权文件生效之后，正本送达之前，基金托管人按照新的授权文件传真</w:t>
      </w:r>
      <w:proofErr w:type="gramStart"/>
      <w:r>
        <w:rPr>
          <w:rFonts w:asciiTheme="minorEastAsia" w:eastAsiaTheme="minorEastAsia" w:hAnsiTheme="minorEastAsia" w:cs="Arial" w:hint="eastAsia"/>
          <w:szCs w:val="21"/>
        </w:rPr>
        <w:t>件内容</w:t>
      </w:r>
      <w:proofErr w:type="gramEnd"/>
      <w:r>
        <w:rPr>
          <w:rFonts w:asciiTheme="minorEastAsia" w:eastAsiaTheme="minorEastAsia" w:hAnsiTheme="minorEastAsia" w:cs="Arial" w:hint="eastAsia"/>
          <w:szCs w:val="21"/>
        </w:rPr>
        <w:t>执行有关业务，如果新的授权文件正本与传真</w:t>
      </w:r>
      <w:proofErr w:type="gramStart"/>
      <w:r>
        <w:rPr>
          <w:rFonts w:asciiTheme="minorEastAsia" w:eastAsiaTheme="minorEastAsia" w:hAnsiTheme="minorEastAsia" w:cs="Arial" w:hint="eastAsia"/>
          <w:szCs w:val="21"/>
        </w:rPr>
        <w:t>件内容</w:t>
      </w:r>
      <w:proofErr w:type="gramEnd"/>
      <w:r>
        <w:rPr>
          <w:rFonts w:asciiTheme="minorEastAsia" w:eastAsiaTheme="minorEastAsia" w:hAnsiTheme="minorEastAsia" w:cs="Arial" w:hint="eastAsia"/>
          <w:szCs w:val="21"/>
        </w:rPr>
        <w:t>不同，由此产生的责任由基金管理人承担。基金托管人更换接受基金管理人指令的传真号或邮箱地址，应提前通知基金管理人。</w:t>
      </w:r>
    </w:p>
    <w:p w14:paraId="2AB4F853" w14:textId="41AC68B0"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w:t>
      </w:r>
      <w:r w:rsidR="009F63E6">
        <w:rPr>
          <w:rFonts w:asciiTheme="minorEastAsia" w:eastAsiaTheme="minorEastAsia" w:hAnsiTheme="minorEastAsia" w:cs="Arial" w:hint="eastAsia"/>
          <w:szCs w:val="21"/>
        </w:rPr>
        <w:t>七</w:t>
      </w:r>
      <w:r>
        <w:rPr>
          <w:rFonts w:asciiTheme="minorEastAsia" w:eastAsiaTheme="minorEastAsia" w:hAnsiTheme="minorEastAsia" w:cs="Arial" w:hint="eastAsia"/>
          <w:szCs w:val="21"/>
        </w:rPr>
        <w:t>）其他事项</w:t>
      </w:r>
    </w:p>
    <w:p w14:paraId="7BA76476" w14:textId="0506DC78"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托管人在接收指令时，应对指令的要素是否齐全、印鉴与被授权人是否与预留的授权文件内容表面相符进行检查，如发现问题，应及时报告基金管理人，基金托管人对执行基金管理人的有效指令对基金财产造成的损失不承担赔偿责任。</w:t>
      </w:r>
    </w:p>
    <w:p w14:paraId="1E33CC2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基金参与认购未上市债券时，基金管理人应代表本基金与对手方签署相关合同或协议，明确约定债券过户具体事宜。否则，基金管理人需对所认购债券的过户事宜承担相应责任。</w:t>
      </w:r>
    </w:p>
    <w:p w14:paraId="442AAE22" w14:textId="77777777" w:rsidR="002B077A" w:rsidRDefault="002B077A">
      <w:pPr>
        <w:adjustRightInd w:val="0"/>
        <w:snapToGrid w:val="0"/>
        <w:spacing w:line="360" w:lineRule="auto"/>
        <w:rPr>
          <w:rFonts w:asciiTheme="minorEastAsia" w:eastAsiaTheme="minorEastAsia" w:hAnsiTheme="minorEastAsia" w:cs="Arial"/>
          <w:szCs w:val="21"/>
        </w:rPr>
      </w:pPr>
    </w:p>
    <w:p w14:paraId="34672545" w14:textId="77777777" w:rsidR="002B077A" w:rsidRDefault="00DB5093">
      <w:pPr>
        <w:widowControl/>
        <w:spacing w:line="360" w:lineRule="auto"/>
        <w:jc w:val="left"/>
        <w:rPr>
          <w:rFonts w:asciiTheme="minorEastAsia" w:eastAsiaTheme="minorEastAsia" w:hAnsiTheme="minorEastAsia"/>
          <w:b/>
          <w:szCs w:val="21"/>
        </w:rPr>
      </w:pPr>
      <w:bookmarkStart w:id="67" w:name="_Toc119402713"/>
      <w:bookmarkStart w:id="68" w:name="_Toc118972651"/>
      <w:bookmarkStart w:id="69" w:name="_Toc110761799"/>
      <w:bookmarkStart w:id="70" w:name="_Toc86225294"/>
      <w:bookmarkStart w:id="71" w:name="_Toc86737932"/>
      <w:bookmarkStart w:id="72" w:name="_Toc89163371"/>
      <w:bookmarkStart w:id="73" w:name="_Toc86649725"/>
      <w:bookmarkStart w:id="74" w:name="_Toc86726442"/>
      <w:bookmarkStart w:id="75" w:name="_Toc110830495"/>
      <w:bookmarkStart w:id="76" w:name="_Toc120435786"/>
      <w:bookmarkStart w:id="77" w:name="_Toc86727358"/>
      <w:bookmarkStart w:id="78" w:name="_Toc108512361"/>
      <w:bookmarkStart w:id="79" w:name="_Toc118212953"/>
      <w:bookmarkStart w:id="80" w:name="_Toc110765663"/>
      <w:bookmarkStart w:id="81" w:name="_Toc118774806"/>
      <w:bookmarkStart w:id="82" w:name="_Toc86204791"/>
      <w:bookmarkStart w:id="83" w:name="_Toc86223245"/>
      <w:bookmarkStart w:id="84" w:name="_Toc84234437"/>
      <w:bookmarkStart w:id="85" w:name="_Toc84133788"/>
      <w:bookmarkStart w:id="86" w:name="_Toc84234390"/>
      <w:r>
        <w:rPr>
          <w:rFonts w:asciiTheme="minorEastAsia" w:eastAsiaTheme="minorEastAsia" w:hAnsiTheme="minorEastAsia"/>
          <w:szCs w:val="21"/>
        </w:rPr>
        <w:br w:type="page"/>
      </w:r>
    </w:p>
    <w:p w14:paraId="740D9683"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87" w:name="_Toc520904540"/>
      <w:r>
        <w:rPr>
          <w:rFonts w:asciiTheme="minorEastAsia" w:eastAsiaTheme="minorEastAsia" w:hAnsiTheme="minorEastAsia" w:hint="eastAsia"/>
          <w:sz w:val="21"/>
          <w:szCs w:val="21"/>
        </w:rPr>
        <w:lastRenderedPageBreak/>
        <w:t>七、交易及清算交收安排</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p>
    <w:p w14:paraId="4854269C" w14:textId="7344A183"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基金参与交易所场内证券投资，采取托管人结算模式，基金管理人与基金托管人应根据有关法律法规及相关业务规则，签订《托管银行证券资金结算协议》用以具体明确基金管理人与基金托管人在证券交易资金结算（含港股通）业务中的程序与责任。协议签署前，基金管理人应按基金托管人要求配合提供相应准入材料。</w:t>
      </w:r>
    </w:p>
    <w:p w14:paraId="5F5A14C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基金管理人、基金托管人应遵守本协议下述（一）和（二）之约定。</w:t>
      </w:r>
    </w:p>
    <w:p w14:paraId="1DDCC60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（一）选择证券、期货买卖的证券、期货经营机构</w:t>
      </w:r>
    </w:p>
    <w:p w14:paraId="39A6C8C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应设计选择证券、期货买卖的证券、期货经营机构的标准和程序。基金管理人负责选择证券经营机构，租用其交易单元作为基金的专用交易单元。基金管理人和被选中的证券经营机构签订委托协议，基金管理人应提前通知基金托管人，并依据基金托管人要求提供相关资料，以便基金托管人申请办理接收结算数据手续。基金管理人应根据有关规定，在基金的中期报告和年度报告中将所选证券经营机构的有关情况及交易信息予以披露，并将该等情况及基金交易单元号、佣金费率等基本信息以及变更情况及时以书面形式通知基金托管人。</w:t>
      </w:r>
    </w:p>
    <w:p w14:paraId="4E721F6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基金管理人负责选择代理本基金股指期货、国债期货交易的期货经纪机构，并与其签订期货经纪合同，其他事宜根据法律法规、《基金合同》的相关规定执行。</w:t>
      </w:r>
    </w:p>
    <w:p w14:paraId="0B2BEF2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hint="eastAsia"/>
          <w:szCs w:val="21"/>
        </w:rPr>
        <w:t>本基金在开始进行期货投资之前，应与基金托管人、期货公司三方</w:t>
      </w:r>
      <w:proofErr w:type="gramStart"/>
      <w:r>
        <w:rPr>
          <w:rFonts w:asciiTheme="minorEastAsia" w:eastAsiaTheme="minorEastAsia" w:hAnsiTheme="minorEastAsia" w:hint="eastAsia"/>
          <w:szCs w:val="21"/>
        </w:rPr>
        <w:t>一同就</w:t>
      </w:r>
      <w:proofErr w:type="gramEnd"/>
      <w:r>
        <w:rPr>
          <w:rFonts w:asciiTheme="minorEastAsia" w:eastAsiaTheme="minorEastAsia" w:hAnsiTheme="minorEastAsia" w:hint="eastAsia"/>
          <w:szCs w:val="21"/>
        </w:rPr>
        <w:t>期货开户、清算、估值、交收等事宜另行签署《期货投资托管操作三方备忘录》。</w:t>
      </w:r>
    </w:p>
    <w:p w14:paraId="2F82E6F1"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（二）基金投资证券后的清算交收安排</w:t>
      </w:r>
    </w:p>
    <w:p w14:paraId="4BE2665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 结算备付金与保证金</w:t>
      </w:r>
    </w:p>
    <w:p w14:paraId="477E148A" w14:textId="77777777" w:rsidR="002B077A" w:rsidRDefault="00DB509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中国证券登记结算有限责任公司分别于每月前6个交易日及每月前3个交易日内，对结算参与人最低备付金限额与结算保证金限额进行重新核算、调整。基金托管人应分别于每月前3个交易日内及结算保证金调整当日通过《资金账户报告》通知基金管理人本基金最低备付金调整金额以及调整后的结算保证金金额。基金管理人应预留最低备付金和结算保证金，并根据中国证券登记结算有限责任公司确定的实际最低备付金、结算保证金数据为依据安排资金运作，调整所需的现金头寸。如因调整最低备付金、结算保证金后造成透支，基金管理人应</w:t>
      </w:r>
      <w:proofErr w:type="gramStart"/>
      <w:r>
        <w:rPr>
          <w:rFonts w:asciiTheme="minorEastAsia" w:eastAsiaTheme="minorEastAsia" w:hAnsiTheme="minorEastAsia" w:hint="eastAsia"/>
          <w:szCs w:val="21"/>
        </w:rPr>
        <w:t>视基金</w:t>
      </w:r>
      <w:proofErr w:type="gramEnd"/>
      <w:r>
        <w:rPr>
          <w:rFonts w:asciiTheme="minorEastAsia" w:eastAsiaTheme="minorEastAsia" w:hAnsiTheme="minorEastAsia" w:hint="eastAsia"/>
          <w:szCs w:val="21"/>
        </w:rPr>
        <w:t>托管人最低结算备付金比例计收方式分别于下列时点补足透支金额：</w:t>
      </w:r>
    </w:p>
    <w:p w14:paraId="4AE6DDA8" w14:textId="77777777" w:rsidR="002B077A" w:rsidRDefault="00DB509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（1）固定备付金比例计收方式下，基金管理人应在调整最低备付金、结算保证金当日上午11：00之前补足金额。</w:t>
      </w:r>
    </w:p>
    <w:p w14:paraId="15D2429C" w14:textId="77777777" w:rsidR="002B077A" w:rsidRDefault="00DB509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（2）差异化备付金比例计收方式下，基金管理人应最晚于资金</w:t>
      </w:r>
      <w:proofErr w:type="gramStart"/>
      <w:r>
        <w:rPr>
          <w:rFonts w:asciiTheme="minorEastAsia" w:eastAsiaTheme="minorEastAsia" w:hAnsiTheme="minorEastAsia" w:hint="eastAsia"/>
          <w:szCs w:val="21"/>
        </w:rPr>
        <w:t>交收日上午</w:t>
      </w:r>
      <w:proofErr w:type="gramEnd"/>
      <w:r>
        <w:rPr>
          <w:rFonts w:asciiTheme="minorEastAsia" w:eastAsiaTheme="minorEastAsia" w:hAnsiTheme="minorEastAsia" w:hint="eastAsia"/>
          <w:szCs w:val="21"/>
        </w:rPr>
        <w:t>8：30前补足金额。</w:t>
      </w:r>
    </w:p>
    <w:p w14:paraId="3E52269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hint="eastAsia"/>
          <w:szCs w:val="21"/>
        </w:rPr>
        <w:t>2、清算交收</w:t>
      </w:r>
    </w:p>
    <w:p w14:paraId="709EAF5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基金托管人负责基金买卖证券的清算交收。场内资金结算由基金托管人根据中国证券登记结算有限责任公司结算数据办理；场外资金汇划由基金托管人根据基金管理人的交易划款指令具体办理。</w:t>
      </w:r>
    </w:p>
    <w:p w14:paraId="12B88F12" w14:textId="2AF5081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lastRenderedPageBreak/>
        <w:t>如果因为基金托管人自身过错在清算上造成基金财产的直接损失，应由基金托管人负责赔偿，但因中国人民银行、中国结算和银行间市场登记结算机构资金结算系统以及其他机构的结算系统发生故障等</w:t>
      </w:r>
      <w:proofErr w:type="gramStart"/>
      <w:r>
        <w:rPr>
          <w:rFonts w:asciiTheme="minorEastAsia" w:eastAsiaTheme="minorEastAsia" w:hAnsiTheme="minorEastAsia" w:cs="Arial" w:hint="eastAsia"/>
          <w:szCs w:val="21"/>
        </w:rPr>
        <w:t>非基金</w:t>
      </w:r>
      <w:proofErr w:type="gramEnd"/>
      <w:r>
        <w:rPr>
          <w:rFonts w:asciiTheme="minorEastAsia" w:eastAsiaTheme="minorEastAsia" w:hAnsiTheme="minorEastAsia" w:cs="Arial" w:hint="eastAsia"/>
          <w:szCs w:val="21"/>
        </w:rPr>
        <w:t>托管人</w:t>
      </w:r>
      <w:r w:rsidRPr="00310A80">
        <w:rPr>
          <w:rFonts w:asciiTheme="minorEastAsia" w:eastAsiaTheme="minorEastAsia" w:hAnsiTheme="minorEastAsia" w:cs="Arial" w:hint="eastAsia"/>
          <w:szCs w:val="21"/>
        </w:rPr>
        <w:t>可以控制的因素</w:t>
      </w:r>
      <w:r>
        <w:rPr>
          <w:rFonts w:asciiTheme="minorEastAsia" w:eastAsiaTheme="minorEastAsia" w:hAnsiTheme="minorEastAsia" w:cs="Arial" w:hint="eastAsia"/>
          <w:szCs w:val="21"/>
        </w:rPr>
        <w:t>造成清算资金无法按时到账的情形，基金托管人免责；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w:t>
      </w:r>
      <w:proofErr w:type="gramStart"/>
      <w:r>
        <w:rPr>
          <w:rFonts w:asciiTheme="minorEastAsia" w:eastAsiaTheme="minorEastAsia" w:hAnsiTheme="minorEastAsia" w:cs="Arial" w:hint="eastAsia"/>
          <w:szCs w:val="21"/>
        </w:rPr>
        <w:t>券</w:t>
      </w:r>
      <w:proofErr w:type="gramEnd"/>
      <w:r>
        <w:rPr>
          <w:rFonts w:asciiTheme="minorEastAsia" w:eastAsiaTheme="minorEastAsia" w:hAnsiTheme="minorEastAsia" w:cs="Arial" w:hint="eastAsia"/>
          <w:szCs w:val="21"/>
        </w:rPr>
        <w:t>欠库等原因造成基金投资清算困难和风险的，基金托管人在预清算结束后应通知基金管理人预透支和预欠库事项，基金管理人应保持联系方式畅通，后续补缴等事宜由基金管理人负责解决，由此给基金托管人、本基金和基金托管人托管的其他资产造成的直接损失由基金管理人承担。</w:t>
      </w:r>
    </w:p>
    <w:p w14:paraId="360A9393" w14:textId="77777777" w:rsidR="002B077A" w:rsidRDefault="00DB5093">
      <w:pPr>
        <w:adjustRightInd w:val="0"/>
        <w:snapToGrid w:val="0"/>
        <w:spacing w:line="360" w:lineRule="auto"/>
        <w:ind w:firstLineChars="200" w:firstLine="42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基金管理人应采取合理、必要措施，确保T日日终有足够的资金头寸完成T+1日</w:t>
      </w:r>
      <w:r>
        <w:rPr>
          <w:rFonts w:asciiTheme="minorEastAsia" w:eastAsiaTheme="minorEastAsia" w:hAnsiTheme="minorEastAsia" w:hint="eastAsia"/>
          <w:szCs w:val="21"/>
        </w:rPr>
        <w:t>中国证券登记结算有限责任公司的资金</w:t>
      </w:r>
      <w:r>
        <w:rPr>
          <w:rFonts w:asciiTheme="minorEastAsia" w:eastAsiaTheme="minorEastAsia" w:hAnsiTheme="minorEastAsia" w:cs="宋体" w:hint="eastAsia"/>
          <w:color w:val="000000"/>
          <w:kern w:val="0"/>
          <w:szCs w:val="21"/>
        </w:rPr>
        <w:t>交收；如因基金管理</w:t>
      </w:r>
      <w:proofErr w:type="gramStart"/>
      <w:r>
        <w:rPr>
          <w:rFonts w:asciiTheme="minorEastAsia" w:eastAsiaTheme="minorEastAsia" w:hAnsiTheme="minorEastAsia" w:cs="宋体" w:hint="eastAsia"/>
          <w:color w:val="000000"/>
          <w:kern w:val="0"/>
          <w:szCs w:val="21"/>
        </w:rPr>
        <w:t>人原因</w:t>
      </w:r>
      <w:proofErr w:type="gramEnd"/>
      <w:r>
        <w:rPr>
          <w:rFonts w:asciiTheme="minorEastAsia" w:eastAsiaTheme="minorEastAsia" w:hAnsiTheme="minorEastAsia" w:cs="宋体" w:hint="eastAsia"/>
          <w:color w:val="000000"/>
          <w:kern w:val="0"/>
          <w:szCs w:val="21"/>
        </w:rPr>
        <w:t>导致资金头寸不足，基金管理人应</w:t>
      </w:r>
      <w:proofErr w:type="gramStart"/>
      <w:r>
        <w:rPr>
          <w:rFonts w:asciiTheme="minorEastAsia" w:eastAsiaTheme="minorEastAsia" w:hAnsiTheme="minorEastAsia" w:cs="宋体" w:hint="eastAsia"/>
          <w:color w:val="000000"/>
          <w:kern w:val="0"/>
          <w:szCs w:val="21"/>
        </w:rPr>
        <w:t>视基金</w:t>
      </w:r>
      <w:proofErr w:type="gramEnd"/>
      <w:r>
        <w:rPr>
          <w:rFonts w:asciiTheme="minorEastAsia" w:eastAsiaTheme="minorEastAsia" w:hAnsiTheme="minorEastAsia" w:cs="宋体" w:hint="eastAsia"/>
          <w:color w:val="000000"/>
          <w:kern w:val="0"/>
          <w:szCs w:val="21"/>
        </w:rPr>
        <w:t>托管人最低结算备付金比例计收方式分别于下列时点补足透支金额：</w:t>
      </w:r>
    </w:p>
    <w:p w14:paraId="4ECC4C83" w14:textId="77777777" w:rsidR="002B077A" w:rsidRDefault="00DB5093">
      <w:pPr>
        <w:adjustRightInd w:val="0"/>
        <w:snapToGrid w:val="0"/>
        <w:spacing w:line="360" w:lineRule="auto"/>
        <w:ind w:firstLineChars="200" w:firstLine="42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（1）固定备付金比例计收方式下，基金管理人应最晚于资金</w:t>
      </w:r>
      <w:proofErr w:type="gramStart"/>
      <w:r>
        <w:rPr>
          <w:rFonts w:asciiTheme="minorEastAsia" w:eastAsiaTheme="minorEastAsia" w:hAnsiTheme="minorEastAsia" w:cs="宋体" w:hint="eastAsia"/>
          <w:color w:val="000000"/>
          <w:kern w:val="0"/>
          <w:szCs w:val="21"/>
        </w:rPr>
        <w:t>交收日上午</w:t>
      </w:r>
      <w:proofErr w:type="gramEnd"/>
      <w:r>
        <w:rPr>
          <w:rFonts w:asciiTheme="minorEastAsia" w:eastAsiaTheme="minorEastAsia" w:hAnsiTheme="minorEastAsia" w:cs="宋体" w:hint="eastAsia"/>
          <w:color w:val="000000"/>
          <w:kern w:val="0"/>
          <w:szCs w:val="21"/>
        </w:rPr>
        <w:t>11：00前补足金额。</w:t>
      </w:r>
    </w:p>
    <w:p w14:paraId="0EA01CD4" w14:textId="77777777" w:rsidR="002B077A" w:rsidRDefault="00DB5093">
      <w:pPr>
        <w:adjustRightInd w:val="0"/>
        <w:snapToGrid w:val="0"/>
        <w:spacing w:line="360" w:lineRule="auto"/>
        <w:ind w:firstLineChars="200" w:firstLine="42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（2）差异化备付金比例计收方式下，基金管理人应最晚于资金</w:t>
      </w:r>
      <w:proofErr w:type="gramStart"/>
      <w:r>
        <w:rPr>
          <w:rFonts w:asciiTheme="minorEastAsia" w:eastAsiaTheme="minorEastAsia" w:hAnsiTheme="minorEastAsia" w:cs="宋体" w:hint="eastAsia"/>
          <w:color w:val="000000"/>
          <w:kern w:val="0"/>
          <w:szCs w:val="21"/>
        </w:rPr>
        <w:t>交收日上午</w:t>
      </w:r>
      <w:proofErr w:type="gramEnd"/>
      <w:r>
        <w:rPr>
          <w:rFonts w:asciiTheme="minorEastAsia" w:eastAsiaTheme="minorEastAsia" w:hAnsiTheme="minorEastAsia" w:cs="宋体" w:hint="eastAsia"/>
          <w:color w:val="000000"/>
          <w:kern w:val="0"/>
          <w:szCs w:val="21"/>
        </w:rPr>
        <w:t>8：30前补足金额。如果基金管理人未遵循上述规定备足资金头寸，影响基金资产的清算交收及基金托管人与中国证券登记结算有限责任公司之间的一级清算，由此给基金托管人、基金资产及基金托管人托管的其他资产造成的直接损失由基金管理人负责。</w:t>
      </w:r>
    </w:p>
    <w:p w14:paraId="2F7E9F53" w14:textId="77777777" w:rsidR="002B077A" w:rsidRDefault="00DB5093">
      <w:pPr>
        <w:adjustRightInd w:val="0"/>
        <w:snapToGrid w:val="0"/>
        <w:spacing w:line="360" w:lineRule="auto"/>
        <w:ind w:firstLineChars="200" w:firstLine="420"/>
        <w:rPr>
          <w:rFonts w:asciiTheme="minorEastAsia" w:eastAsiaTheme="minorEastAsia" w:hAnsiTheme="minorEastAsia" w:cs="宋体"/>
          <w:color w:val="000000"/>
          <w:kern w:val="0"/>
          <w:szCs w:val="21"/>
        </w:rPr>
      </w:pPr>
      <w:r>
        <w:rPr>
          <w:rFonts w:asciiTheme="minorEastAsia" w:eastAsiaTheme="minorEastAsia" w:hAnsiTheme="minorEastAsia" w:cs="宋体" w:hint="eastAsia"/>
          <w:color w:val="000000"/>
          <w:kern w:val="0"/>
          <w:szCs w:val="21"/>
        </w:rPr>
        <w:t>根据中国证券登记结算有限责任公司结算规定，基金管理人在进行融资回购业务时，用于融资回购的债券将作为偿还融资回购到期购回款的质押</w:t>
      </w:r>
      <w:proofErr w:type="gramStart"/>
      <w:r>
        <w:rPr>
          <w:rFonts w:asciiTheme="minorEastAsia" w:eastAsiaTheme="minorEastAsia" w:hAnsiTheme="minorEastAsia" w:cs="宋体" w:hint="eastAsia"/>
          <w:color w:val="000000"/>
          <w:kern w:val="0"/>
          <w:szCs w:val="21"/>
        </w:rPr>
        <w:t>券</w:t>
      </w:r>
      <w:proofErr w:type="gramEnd"/>
      <w:r>
        <w:rPr>
          <w:rFonts w:asciiTheme="minorEastAsia" w:eastAsiaTheme="minorEastAsia" w:hAnsiTheme="minorEastAsia" w:cs="宋体" w:hint="eastAsia"/>
          <w:color w:val="000000"/>
          <w:kern w:val="0"/>
          <w:szCs w:val="21"/>
        </w:rPr>
        <w:t>。如因基金管理</w:t>
      </w:r>
      <w:proofErr w:type="gramStart"/>
      <w:r>
        <w:rPr>
          <w:rFonts w:asciiTheme="minorEastAsia" w:eastAsiaTheme="minorEastAsia" w:hAnsiTheme="minorEastAsia" w:cs="宋体" w:hint="eastAsia"/>
          <w:color w:val="000000"/>
          <w:kern w:val="0"/>
          <w:szCs w:val="21"/>
        </w:rPr>
        <w:t>人原因</w:t>
      </w:r>
      <w:proofErr w:type="gramEnd"/>
      <w:r>
        <w:rPr>
          <w:rFonts w:asciiTheme="minorEastAsia" w:eastAsiaTheme="minorEastAsia" w:hAnsiTheme="minorEastAsia" w:cs="宋体" w:hint="eastAsia"/>
          <w:color w:val="000000"/>
          <w:kern w:val="0"/>
          <w:szCs w:val="21"/>
        </w:rPr>
        <w:t>造成债券回购交收违约或因折算率变化造成质押欠库，导致中国证券登记结算有限责任公司欠库扣款或对质押</w:t>
      </w:r>
      <w:proofErr w:type="gramStart"/>
      <w:r>
        <w:rPr>
          <w:rFonts w:asciiTheme="minorEastAsia" w:eastAsiaTheme="minorEastAsia" w:hAnsiTheme="minorEastAsia" w:cs="宋体" w:hint="eastAsia"/>
          <w:color w:val="000000"/>
          <w:kern w:val="0"/>
          <w:szCs w:val="21"/>
        </w:rPr>
        <w:t>券</w:t>
      </w:r>
      <w:proofErr w:type="gramEnd"/>
      <w:r>
        <w:rPr>
          <w:rFonts w:asciiTheme="minorEastAsia" w:eastAsiaTheme="minorEastAsia" w:hAnsiTheme="minorEastAsia" w:cs="宋体" w:hint="eastAsia"/>
          <w:color w:val="000000"/>
          <w:kern w:val="0"/>
          <w:szCs w:val="21"/>
        </w:rPr>
        <w:t>进行处置造成的投资风险和损失由基金管理人承担。</w:t>
      </w:r>
    </w:p>
    <w:p w14:paraId="27B2F05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宋体" w:hint="eastAsia"/>
          <w:color w:val="000000"/>
          <w:kern w:val="0"/>
          <w:szCs w:val="21"/>
        </w:rPr>
        <w:t>对于中国证券登记结算有限责任公司实行T+0非担保交收的业务，基金管理人应在交易日14:00前将划款指令发送至基金托管人。因基金管理人指令传输不及时，致使资金未能及时划入中国结算指定交收账户所造成的损失由基金管理人承担。包括但不限于赔偿在该市场引起其他托管客户交易失败、赔偿因占用结算参与人最低备付金带来的利息损失。</w:t>
      </w:r>
    </w:p>
    <w:p w14:paraId="4C71441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2.交易记录、资金和证券/期货账目核对的时间和方式</w:t>
      </w:r>
    </w:p>
    <w:p w14:paraId="304D3F1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（1）交易记录的核对</w:t>
      </w:r>
    </w:p>
    <w:p w14:paraId="1E7ABD1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hint="eastAsia"/>
          <w:kern w:val="0"/>
          <w:szCs w:val="21"/>
        </w:rPr>
        <w:t>基金管理人按日进行交易记录的核对。每日对外披露净值之前，必须保证当天所有实际交易记录与基金会计账簿上的交易记录完全一致。如果实际交易记录与会计账簿记录不一致，造成基金会计核算不完整或不真实，由此导致的损失由基金管理人承担。</w:t>
      </w:r>
    </w:p>
    <w:p w14:paraId="65B5ADE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（2）资金账目的核对</w:t>
      </w:r>
    </w:p>
    <w:p w14:paraId="05DCF20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资金账目按日核实。</w:t>
      </w:r>
    </w:p>
    <w:p w14:paraId="083E979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lastRenderedPageBreak/>
        <w:t>（3）证券/期货账目的核对</w:t>
      </w:r>
    </w:p>
    <w:p w14:paraId="644B5965" w14:textId="15442A9B"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基金管理人和基金托管人每交易日结束后核对基金证券、期货账目，确保双方账目相符。</w:t>
      </w:r>
    </w:p>
    <w:p w14:paraId="6499E8A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（三）基金申购和赎回业务处理的基本规定</w:t>
      </w:r>
    </w:p>
    <w:p w14:paraId="7F7FD6D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1.基金份额申购、赎回的确认、清算由基金管理人或其委托的登记机构负责。</w:t>
      </w:r>
    </w:p>
    <w:p w14:paraId="6662C7F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管理人应将每个开放日的申购、赎回、转换开放式基金的数据传送给基金托管人。基金管理人应对传递的申购、赎回、转换开放式基金的数据真实性负责。基金托管人应及时查收申购及转入资金的到账情况并根据基金管理人指令及时划付赎回及转出款项。</w:t>
      </w:r>
    </w:p>
    <w:p w14:paraId="769DDC9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3.基金管理人应保证本基金（或本基金管理人委托）的登记机构每个工作日15:00前向基金托管人发送前一开放</w:t>
      </w:r>
      <w:proofErr w:type="gramStart"/>
      <w:r>
        <w:rPr>
          <w:rFonts w:asciiTheme="minorEastAsia" w:eastAsiaTheme="minorEastAsia" w:hAnsiTheme="minorEastAsia" w:cs="Arial" w:hint="eastAsia"/>
          <w:szCs w:val="21"/>
        </w:rPr>
        <w:t>日上述</w:t>
      </w:r>
      <w:proofErr w:type="gramEnd"/>
      <w:r>
        <w:rPr>
          <w:rFonts w:asciiTheme="minorEastAsia" w:eastAsiaTheme="minorEastAsia" w:hAnsiTheme="minorEastAsia" w:cs="Arial" w:hint="eastAsia"/>
          <w:szCs w:val="21"/>
        </w:rPr>
        <w:t>有关数据，并保证相关数据的准确、完整。</w:t>
      </w:r>
    </w:p>
    <w:p w14:paraId="21247DD9" w14:textId="405736B3"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4.登记机构应通过与基金托管人建立的加密系统发送有关数据，如因各种原因，该系统无法正常发送，双方可协商解决处理方式。基金管理人向基金托管人发送的数据，双方各自按有关规定保存。</w:t>
      </w:r>
    </w:p>
    <w:p w14:paraId="6F0668D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5.如基金管理人委托其他机构办理本基金的登记业务，应保证上述相关事宜按时进行。否则，由基金管理人承担相应的责任。</w:t>
      </w:r>
    </w:p>
    <w:p w14:paraId="63F11BB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6.关于清算专用账户的设立和管理</w:t>
      </w:r>
    </w:p>
    <w:p w14:paraId="33C1B91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为满足申购、赎回及分红资金汇划的需要，由基金管理人开立资金清算的专用账户，该账户由登记机构管理。</w:t>
      </w:r>
    </w:p>
    <w:p w14:paraId="29E761C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7.对于基金申购过程中产生的应收款，应由基金管理人负责与有关当事人确定到账日期并通知基金托管人，到账日应收款没有到达基金托管资金账户的，基金托管人应及时通知基金管理人采取措施进行催收，由此造成基金损失的，基金管理人应负责向有关当事人追偿基金的损失。</w:t>
      </w:r>
    </w:p>
    <w:p w14:paraId="45D5917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8.赎回和分红资金划拨规定</w:t>
      </w:r>
    </w:p>
    <w:p w14:paraId="2D39C14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拨付</w:t>
      </w:r>
      <w:proofErr w:type="gramStart"/>
      <w:r>
        <w:rPr>
          <w:rFonts w:asciiTheme="minorEastAsia" w:eastAsiaTheme="minorEastAsia" w:hAnsiTheme="minorEastAsia" w:cs="Arial" w:hint="eastAsia"/>
          <w:szCs w:val="21"/>
        </w:rPr>
        <w:t>赎回款</w:t>
      </w:r>
      <w:proofErr w:type="gramEnd"/>
      <w:r>
        <w:rPr>
          <w:rFonts w:asciiTheme="minorEastAsia" w:eastAsiaTheme="minorEastAsia" w:hAnsiTheme="minorEastAsia" w:cs="Arial" w:hint="eastAsia"/>
          <w:szCs w:val="21"/>
        </w:rPr>
        <w:t>或进行基金分红时，如基金托管资金账户有足够的资金，基金托管人应按时拨付；因基金托管资金账户没有足够的资金，导致基金托管人不能按时拨付，如</w:t>
      </w:r>
      <w:proofErr w:type="gramStart"/>
      <w:r>
        <w:rPr>
          <w:rFonts w:asciiTheme="minorEastAsia" w:eastAsiaTheme="minorEastAsia" w:hAnsiTheme="minorEastAsia" w:cs="Arial" w:hint="eastAsia"/>
          <w:szCs w:val="21"/>
        </w:rPr>
        <w:t>系基金</w:t>
      </w:r>
      <w:proofErr w:type="gramEnd"/>
      <w:r>
        <w:rPr>
          <w:rFonts w:asciiTheme="minorEastAsia" w:eastAsiaTheme="minorEastAsia" w:hAnsiTheme="minorEastAsia" w:cs="Arial" w:hint="eastAsia"/>
          <w:szCs w:val="21"/>
        </w:rPr>
        <w:t>管理人的原因造成，责任由基金管理人承担，基金托管人不承担垫款义务。</w:t>
      </w:r>
    </w:p>
    <w:p w14:paraId="6D35D50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9.资金指令</w:t>
      </w:r>
    </w:p>
    <w:p w14:paraId="453A9F0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除申购款项到达基金托管资金账户需双方按约定方式对账外，回购到期付款和与投资有关的付款、赎回和分红资金划拨时，基金管理人需向基金托管人下达指令。</w:t>
      </w:r>
    </w:p>
    <w:p w14:paraId="613AC6C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资金指令的格式、内容、发送、接收和确认方式等与投资指令相同。</w:t>
      </w:r>
    </w:p>
    <w:p w14:paraId="26E827A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（四）</w:t>
      </w:r>
      <w:proofErr w:type="gramStart"/>
      <w:r>
        <w:rPr>
          <w:rFonts w:asciiTheme="minorEastAsia" w:eastAsiaTheme="minorEastAsia" w:hAnsiTheme="minorEastAsia" w:cs="Arial" w:hint="eastAsia"/>
          <w:szCs w:val="21"/>
        </w:rPr>
        <w:t>申赎净额</w:t>
      </w:r>
      <w:proofErr w:type="gramEnd"/>
      <w:r>
        <w:rPr>
          <w:rFonts w:asciiTheme="minorEastAsia" w:eastAsiaTheme="minorEastAsia" w:hAnsiTheme="minorEastAsia" w:cs="Arial" w:hint="eastAsia"/>
          <w:szCs w:val="21"/>
        </w:rPr>
        <w:t>结算</w:t>
      </w:r>
    </w:p>
    <w:p w14:paraId="3345A1A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托管资金账户与“基金清算账户”间的资金结算遵循“全额清算、净额交收”的原则，每日(T日：资金交收日，下同)按照托管资金账户应收资金(T-2日申购申请（其中直销为T-1日申购申请）对应申购金额与T-2日基金转换</w:t>
      </w:r>
      <w:proofErr w:type="gramStart"/>
      <w:r>
        <w:rPr>
          <w:rFonts w:asciiTheme="minorEastAsia" w:eastAsiaTheme="minorEastAsia" w:hAnsiTheme="minorEastAsia" w:cs="Arial" w:hint="eastAsia"/>
          <w:szCs w:val="21"/>
        </w:rPr>
        <w:t>入申请</w:t>
      </w:r>
      <w:proofErr w:type="gramEnd"/>
      <w:r>
        <w:rPr>
          <w:rFonts w:asciiTheme="minorEastAsia" w:eastAsiaTheme="minorEastAsia" w:hAnsiTheme="minorEastAsia" w:cs="Arial" w:hint="eastAsia"/>
          <w:szCs w:val="21"/>
        </w:rPr>
        <w:t>对应金额之和)与应付资金(T-3日赎回申请对应赎回金额与T-2日基金转换出申请对应金额之和)的差额来确定托管资金账户净应收额</w:t>
      </w:r>
      <w:r>
        <w:rPr>
          <w:rFonts w:asciiTheme="minorEastAsia" w:eastAsiaTheme="minorEastAsia" w:hAnsiTheme="minorEastAsia" w:cs="Arial" w:hint="eastAsia"/>
          <w:szCs w:val="21"/>
        </w:rPr>
        <w:lastRenderedPageBreak/>
        <w:t>或净应付额，以此确定资金交收额。当存在托管资金账户净应收额时，基金管理人应在T日15:00之前从基金清算账户划到基金托管资金账户；当存在托管账户净应付额时，基金管理人应在T日1</w:t>
      </w:r>
      <w:r>
        <w:rPr>
          <w:rFonts w:asciiTheme="minorEastAsia" w:eastAsiaTheme="minorEastAsia" w:hAnsiTheme="minorEastAsia" w:cs="Arial"/>
          <w:szCs w:val="21"/>
        </w:rPr>
        <w:t>0</w:t>
      </w:r>
      <w:r>
        <w:rPr>
          <w:rFonts w:asciiTheme="minorEastAsia" w:eastAsiaTheme="minorEastAsia" w:hAnsiTheme="minorEastAsia" w:cs="Arial" w:hint="eastAsia"/>
          <w:szCs w:val="21"/>
        </w:rPr>
        <w:t>:</w:t>
      </w:r>
      <w:r>
        <w:rPr>
          <w:rFonts w:asciiTheme="minorEastAsia" w:eastAsiaTheme="minorEastAsia" w:hAnsiTheme="minorEastAsia" w:cs="Arial"/>
          <w:szCs w:val="21"/>
        </w:rPr>
        <w:t>00</w:t>
      </w:r>
      <w:r>
        <w:rPr>
          <w:rFonts w:asciiTheme="minorEastAsia" w:eastAsiaTheme="minorEastAsia" w:hAnsiTheme="minorEastAsia" w:cs="Arial" w:hint="eastAsia"/>
          <w:szCs w:val="21"/>
        </w:rPr>
        <w:t>前将划款指令发送给基金托管人，基金托管人按基金管理人的划款指令将托管资金账户净应付额在T日</w:t>
      </w:r>
      <w:r w:rsidRPr="00FB17F4">
        <w:rPr>
          <w:rFonts w:asciiTheme="minorEastAsia" w:eastAsiaTheme="minorEastAsia" w:hAnsiTheme="minorEastAsia" w:cs="Arial"/>
          <w:szCs w:val="21"/>
        </w:rPr>
        <w:t>15</w:t>
      </w:r>
      <w:r w:rsidRPr="00FB17F4">
        <w:rPr>
          <w:rFonts w:asciiTheme="minorEastAsia" w:eastAsiaTheme="minorEastAsia" w:hAnsiTheme="minorEastAsia" w:cs="Arial" w:hint="eastAsia"/>
          <w:szCs w:val="21"/>
        </w:rPr>
        <w:t>：0</w:t>
      </w:r>
      <w:r w:rsidRPr="00FB17F4">
        <w:rPr>
          <w:rFonts w:asciiTheme="minorEastAsia" w:eastAsiaTheme="minorEastAsia" w:hAnsiTheme="minorEastAsia" w:cs="Arial"/>
          <w:szCs w:val="21"/>
        </w:rPr>
        <w:t>0之前</w:t>
      </w:r>
      <w:proofErr w:type="gramStart"/>
      <w:r w:rsidRPr="00FB17F4">
        <w:rPr>
          <w:rFonts w:asciiTheme="minorEastAsia" w:eastAsiaTheme="minorEastAsia" w:hAnsiTheme="minorEastAsia" w:cs="Arial" w:hint="eastAsia"/>
          <w:szCs w:val="21"/>
        </w:rPr>
        <w:t>划往</w:t>
      </w:r>
      <w:r>
        <w:rPr>
          <w:rFonts w:asciiTheme="minorEastAsia" w:eastAsiaTheme="minorEastAsia" w:hAnsiTheme="minorEastAsia" w:cs="Arial" w:hint="eastAsia"/>
          <w:szCs w:val="21"/>
        </w:rPr>
        <w:t>基金</w:t>
      </w:r>
      <w:proofErr w:type="gramEnd"/>
      <w:r>
        <w:rPr>
          <w:rFonts w:asciiTheme="minorEastAsia" w:eastAsiaTheme="minorEastAsia" w:hAnsiTheme="minorEastAsia" w:cs="Arial" w:hint="eastAsia"/>
          <w:szCs w:val="21"/>
        </w:rPr>
        <w:t>清算账户，法律法规另有规定的除外。</w:t>
      </w:r>
    </w:p>
    <w:p w14:paraId="4E467C7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（五）基金现金分红</w:t>
      </w:r>
    </w:p>
    <w:p w14:paraId="01213B0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1.基金管理人确定分红方案通知基金托管人，双方核定后</w:t>
      </w:r>
      <w:r w:rsidRPr="00FB17F4">
        <w:rPr>
          <w:rFonts w:asciiTheme="minorEastAsia" w:eastAsiaTheme="minorEastAsia" w:hAnsiTheme="minorEastAsia" w:cs="Arial" w:hint="eastAsia"/>
          <w:szCs w:val="21"/>
        </w:rPr>
        <w:t>依照《信息披露办法》的有关规定在中国证监会规定媒介上公告</w:t>
      </w:r>
      <w:r>
        <w:rPr>
          <w:rFonts w:asciiTheme="minorEastAsia" w:eastAsiaTheme="minorEastAsia" w:hAnsiTheme="minorEastAsia" w:cs="Arial" w:hint="eastAsia"/>
          <w:szCs w:val="21"/>
        </w:rPr>
        <w:t>。</w:t>
      </w:r>
    </w:p>
    <w:p w14:paraId="72E1F03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2.基金托管人和基金管理人对基金分红进行账务处理并核对后，基金管理人向基金托管人发送现金红利的划款指令，基金托管人应及时将资金划入专用账户。</w:t>
      </w:r>
    </w:p>
    <w:p w14:paraId="60C9D0DD" w14:textId="77777777" w:rsidR="002B077A" w:rsidRDefault="00DB5093">
      <w:pPr>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3.基金管理人在下达指令时，应给基金托管人留出必需的划款时间。</w:t>
      </w:r>
    </w:p>
    <w:p w14:paraId="395E93F7" w14:textId="77777777" w:rsidR="002B077A" w:rsidRDefault="00DB509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（六）投资银行存款的特别约定</w:t>
      </w:r>
    </w:p>
    <w:p w14:paraId="7C5F30DC" w14:textId="77777777" w:rsidR="002B077A" w:rsidRDefault="00DB509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1.本基金投资银行存款前，基金管理人应与存款银行签订具体存款协议，包括但不限于以下内容：</w:t>
      </w:r>
    </w:p>
    <w:p w14:paraId="6AE268B9" w14:textId="6CDA3A28" w:rsidR="002B077A" w:rsidRDefault="00DB509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（1）存款账户必须以本基金名义开立,并将基金托管人为本基金开立的基金托管资金账户指定为唯一回款账户，任何情况下，存款银行都不得将存款投资</w:t>
      </w:r>
      <w:proofErr w:type="gramStart"/>
      <w:r>
        <w:rPr>
          <w:rFonts w:asciiTheme="minorEastAsia" w:eastAsiaTheme="minorEastAsia" w:hAnsiTheme="minorEastAsia" w:hint="eastAsia"/>
          <w:szCs w:val="21"/>
        </w:rPr>
        <w:t>本息划往任何</w:t>
      </w:r>
      <w:proofErr w:type="gramEnd"/>
      <w:r>
        <w:rPr>
          <w:rFonts w:asciiTheme="minorEastAsia" w:eastAsiaTheme="minorEastAsia" w:hAnsiTheme="minorEastAsia" w:hint="eastAsia"/>
          <w:szCs w:val="21"/>
        </w:rPr>
        <w:t>其他账户。</w:t>
      </w:r>
    </w:p>
    <w:p w14:paraId="2A8E1D12" w14:textId="77777777" w:rsidR="002B077A" w:rsidRDefault="00DB5093">
      <w:pPr>
        <w:adjustRightInd w:val="0"/>
        <w:snapToGrid w:val="0"/>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（2）存款银行不得接受基金管理人或基金托管人任何一方单方面提出的对存款进行更名、转让、挂失、质押、担保、撤销、变更印鉴及回款账户信息等可能导致财产转移的操作申请。</w:t>
      </w:r>
    </w:p>
    <w:p w14:paraId="28FE0F9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hint="eastAsia"/>
          <w:szCs w:val="21"/>
        </w:rPr>
        <w:t>（3）约定存款证</w:t>
      </w:r>
      <w:r>
        <w:rPr>
          <w:rFonts w:asciiTheme="minorEastAsia" w:eastAsiaTheme="minorEastAsia" w:hAnsiTheme="minorEastAsia" w:cs="Arial" w:hint="eastAsia"/>
          <w:szCs w:val="21"/>
        </w:rPr>
        <w:t>实书的具体传递交接方式及交接期限。</w:t>
      </w:r>
    </w:p>
    <w:p w14:paraId="35A9A5DF" w14:textId="77777777" w:rsidR="002B077A" w:rsidRDefault="00DB5093">
      <w:pPr>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（4）资金划转过程中需要使用存款银行过渡账户的，存款银行须保证资金在过渡账户中不出现滞留，不被挪用。</w:t>
      </w:r>
    </w:p>
    <w:p w14:paraId="484D197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本基金投资银行存款，必须采用双方认可的方式办理。基金托管人负责依据基金管理人提供的银行存款投资合同/协议、投资指令、支取通知等有关文件办理资金的支付以及存款证实书的接收、保管与交付，切实履行托管职责。基金托管人负责对存款开户证实书进行保管，不负责对存款开户证实书真伪的辨别，不承担存款开户证实书对应存款的本金及收益的安全。</w:t>
      </w:r>
    </w:p>
    <w:p w14:paraId="50D64EE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基金管理人投资银行存款或办理存款支取时，应提前书面通知基金托管人，以便基金托管人有足够的时间履行相应的业务操作程序。因发生逾期支取、提前支取或部分提前支取，基金托管人不承担相应利息损失及逾期支取手续费。</w:t>
      </w:r>
    </w:p>
    <w:p w14:paraId="489D027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w:t>
      </w:r>
      <w:r>
        <w:rPr>
          <w:rFonts w:asciiTheme="minorEastAsia" w:eastAsiaTheme="minorEastAsia" w:hAnsiTheme="minorEastAsia" w:cs="Arial"/>
          <w:szCs w:val="21"/>
        </w:rPr>
        <w:t>.</w:t>
      </w:r>
      <w:r>
        <w:rPr>
          <w:rFonts w:asciiTheme="minorEastAsia" w:eastAsiaTheme="minorEastAsia" w:hAnsiTheme="minorEastAsia" w:cs="Arial" w:hint="eastAsia"/>
          <w:szCs w:val="21"/>
        </w:rPr>
        <w:t>对于已移交基金托管人保管的存款开户证实书等实物凭证，基金托管人应确保安全保管；对未按约定将存款开户证实书等实物凭证移交基金托管人保管的，基金托管人应向基金管理人进行必要的催缴和风险提示；提示后仍不将相关实物凭证送达基金托管人保管的，出于托管履职和尽责，基金托管人可视情况采取必要的风险控制措施：（1）建立风险预警机制，对于实物凭证未送达集中度较高的存款银行，主动发函基金管理人尽量避免在此类银行进行存款投资；（2）在定期报告中，对未按约定送达基金托管人保管的实物凭证信息进行规定范围信息披露；（3）未送达实物凭证超过送单截止日后30个工作日，且累计超过3笔（含）以上的，</w:t>
      </w:r>
      <w:r>
        <w:rPr>
          <w:rFonts w:asciiTheme="minorEastAsia" w:eastAsiaTheme="minorEastAsia" w:hAnsiTheme="minorEastAsia" w:cs="Arial" w:hint="eastAsia"/>
          <w:szCs w:val="21"/>
        </w:rPr>
        <w:lastRenderedPageBreak/>
        <w:t>部分或全部暂停配合基金管理人办理后续新增存款投资业务，直至实物凭证送达基金托管人保管后解除。实物凭证未送达但存款本息已安全划回托管账户的，以及因发生特殊情况由基金管理人提供相关书面说明并重新承诺送单截止时间的，可剔除不计。</w:t>
      </w:r>
    </w:p>
    <w:p w14:paraId="4A74DC02" w14:textId="77777777" w:rsidR="002B077A" w:rsidRDefault="00DB5093">
      <w:pPr>
        <w:widowControl/>
        <w:spacing w:line="360" w:lineRule="auto"/>
        <w:jc w:val="left"/>
        <w:rPr>
          <w:rFonts w:asciiTheme="minorEastAsia" w:eastAsiaTheme="minorEastAsia" w:hAnsiTheme="minorEastAsia"/>
          <w:b/>
          <w:szCs w:val="21"/>
        </w:rPr>
      </w:pPr>
      <w:r>
        <w:rPr>
          <w:rFonts w:asciiTheme="minorEastAsia" w:eastAsiaTheme="minorEastAsia" w:hAnsiTheme="minorEastAsia"/>
          <w:szCs w:val="21"/>
        </w:rPr>
        <w:br w:type="page"/>
      </w:r>
    </w:p>
    <w:p w14:paraId="002922D4"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88" w:name="_Toc520904541"/>
      <w:r>
        <w:rPr>
          <w:rFonts w:asciiTheme="minorEastAsia" w:eastAsiaTheme="minorEastAsia" w:hAnsiTheme="minorEastAsia" w:hint="eastAsia"/>
          <w:sz w:val="21"/>
          <w:szCs w:val="21"/>
        </w:rPr>
        <w:lastRenderedPageBreak/>
        <w:t>八、基金资产净值计算和会计核算</w:t>
      </w:r>
      <w:bookmarkEnd w:id="88"/>
    </w:p>
    <w:p w14:paraId="4529DA4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（一）基金资产净值的计算、复核与完成的时间及程序</w:t>
      </w:r>
    </w:p>
    <w:p w14:paraId="71A7EFF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基金资产净值是指基金资产总值减去基金负债后的价值。各类基金份额净值是按照每个工作日闭市后，该类基金资产净值除以当日该类基金份额的余额数量计算，各类基金份额净值均精确到0.0001元，小数点后第5位四舍五入，由此产生的误差计入基金财产。基金管理人可以设立大额赎回情形下的净值精度应急调整机制。国家法律法规另有规定的，从其规定。</w:t>
      </w:r>
    </w:p>
    <w:p w14:paraId="52AEEAD1"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基金管理人每个工作日计算基金资产净值及各类</w:t>
      </w:r>
      <w:r>
        <w:rPr>
          <w:rFonts w:asciiTheme="minorEastAsia" w:eastAsiaTheme="minorEastAsia" w:hAnsiTheme="minorEastAsia" w:cs="Arial"/>
          <w:szCs w:val="21"/>
        </w:rPr>
        <w:t>基金份额净值</w:t>
      </w:r>
      <w:r>
        <w:rPr>
          <w:rFonts w:asciiTheme="minorEastAsia" w:eastAsiaTheme="minorEastAsia" w:hAnsiTheme="minorEastAsia" w:cs="Arial" w:hint="eastAsia"/>
          <w:szCs w:val="21"/>
        </w:rPr>
        <w:t>，并按规定公告。</w:t>
      </w:r>
    </w:p>
    <w:p w14:paraId="1B73446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2.基金管理人</w:t>
      </w:r>
      <w:proofErr w:type="gramStart"/>
      <w:r>
        <w:rPr>
          <w:rFonts w:asciiTheme="minorEastAsia" w:eastAsiaTheme="minorEastAsia" w:hAnsiTheme="minorEastAsia" w:cs="Arial" w:hint="eastAsia"/>
          <w:szCs w:val="21"/>
        </w:rPr>
        <w:t>应每个</w:t>
      </w:r>
      <w:proofErr w:type="gramEnd"/>
      <w:r>
        <w:rPr>
          <w:rFonts w:asciiTheme="minorEastAsia" w:eastAsiaTheme="minorEastAsia" w:hAnsiTheme="minorEastAsia" w:cs="Arial" w:hint="eastAsia"/>
          <w:szCs w:val="21"/>
        </w:rPr>
        <w:t>工作日对基金资产估值。但基金管理人根据法律法规或《基金合同》的规定暂停估值时除外。基金管理人每个工作日对基金资产估值后，将各类基金份额净值结果发送基金托管人，经基金托管人复核无误后，由基金管理人按约定对外公布。</w:t>
      </w:r>
    </w:p>
    <w:p w14:paraId="3013A2D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（二）基金资产估值方法和特殊情形的处理</w:t>
      </w:r>
    </w:p>
    <w:p w14:paraId="7C5A1AB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bookmarkStart w:id="89" w:name="_Hlk129960900"/>
      <w:r>
        <w:rPr>
          <w:rFonts w:asciiTheme="minorEastAsia" w:eastAsiaTheme="minorEastAsia" w:hAnsiTheme="minorEastAsia" w:cs="Arial" w:hint="eastAsia"/>
          <w:szCs w:val="21"/>
        </w:rPr>
        <w:t>1.估值对象</w:t>
      </w:r>
    </w:p>
    <w:p w14:paraId="27C0DDA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基金所拥有的股票、股指期货合约、国债期货合约、债券、资产支持证券和银行存款本息、应收款项、其它投资等资产及负债。</w:t>
      </w:r>
    </w:p>
    <w:p w14:paraId="2D04994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2.估值原则和估值方法</w:t>
      </w:r>
    </w:p>
    <w:p w14:paraId="2479F0F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基金管理人在确定相关金融资产和金融负债的公允价值时，应符合《企业会计准则》、监管部门有关规定。</w:t>
      </w:r>
    </w:p>
    <w:p w14:paraId="751D42D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E9909A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5014B25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50BCAD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（3）如经济环境发生重大变化或证券发行人发生影响证券价格的重大事件，使潜在估值调整对前一估值日的基金资产净值的影响在0.25%以上的，应对估值进行调整并确定公允价值。</w:t>
      </w:r>
    </w:p>
    <w:p w14:paraId="70717C4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估值方法：</w:t>
      </w:r>
    </w:p>
    <w:p w14:paraId="4CB8EE3B" w14:textId="77777777" w:rsidR="002B077A" w:rsidRDefault="00DB5093">
      <w:pPr>
        <w:adjustRightInd w:val="0"/>
        <w:snapToGrid w:val="0"/>
        <w:spacing w:line="360" w:lineRule="auto"/>
        <w:ind w:firstLineChars="200" w:firstLine="420"/>
        <w:rPr>
          <w:rFonts w:cs="Arial"/>
        </w:rPr>
      </w:pPr>
      <w:r>
        <w:rPr>
          <w:rFonts w:cs="Arial" w:hint="eastAsia"/>
        </w:rPr>
        <w:t>（</w:t>
      </w:r>
      <w:r>
        <w:rPr>
          <w:rFonts w:cs="Arial"/>
        </w:rPr>
        <w:t>1</w:t>
      </w:r>
      <w:r>
        <w:rPr>
          <w:rFonts w:cs="Arial" w:hint="eastAsia"/>
        </w:rPr>
        <w:t>）证券交易所上市的有价证券（包括股票等）的估值</w:t>
      </w:r>
    </w:p>
    <w:p w14:paraId="6D9829D1"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szCs w:val="21"/>
        </w:rPr>
        <w:lastRenderedPageBreak/>
        <w:fldChar w:fldCharType="begin"/>
      </w:r>
      <w:r>
        <w:rPr>
          <w:rFonts w:asciiTheme="minorEastAsia" w:eastAsiaTheme="minorEastAsia" w:hAnsiTheme="minorEastAsia" w:cs="Arial"/>
          <w:szCs w:val="21"/>
        </w:rPr>
        <w:instrText xml:space="preserve"> = 1 \* GB3 </w:instrText>
      </w:r>
      <w:r>
        <w:rPr>
          <w:rFonts w:asciiTheme="minorEastAsia" w:eastAsiaTheme="minorEastAsia" w:hAnsiTheme="minorEastAsia" w:cs="Arial"/>
          <w:szCs w:val="21"/>
        </w:rPr>
        <w:fldChar w:fldCharType="separate"/>
      </w:r>
      <w:r>
        <w:rPr>
          <w:rFonts w:asciiTheme="minorEastAsia" w:eastAsiaTheme="minorEastAsia" w:hAnsiTheme="minorEastAsia" w:cs="Arial" w:hint="eastAsia"/>
          <w:szCs w:val="21"/>
        </w:rPr>
        <w:t>①</w:t>
      </w:r>
      <w:r>
        <w:rPr>
          <w:rFonts w:asciiTheme="minorEastAsia" w:eastAsiaTheme="minorEastAsia" w:hAnsiTheme="minorEastAsia" w:cs="Arial"/>
          <w:szCs w:val="21"/>
        </w:rPr>
        <w:fldChar w:fldCharType="end"/>
      </w:r>
      <w:r>
        <w:rPr>
          <w:rFonts w:asciiTheme="minorEastAsia" w:eastAsiaTheme="minorEastAsia" w:hAnsiTheme="minorEastAsia" w:cs="Arial" w:hint="eastAsia"/>
          <w:szCs w:val="21"/>
        </w:rPr>
        <w:t>交易所上市的有价证券（包括股票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018935B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②交易所上市不存在活跃市场的有价证券（包括股票等），采用估值技术确定公允价值。</w:t>
      </w:r>
    </w:p>
    <w:p w14:paraId="07DE211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w:t>
      </w:r>
      <w:r>
        <w:rPr>
          <w:rFonts w:asciiTheme="minorEastAsia" w:eastAsiaTheme="minorEastAsia" w:hAnsiTheme="minorEastAsia" w:cs="Arial"/>
          <w:szCs w:val="21"/>
        </w:rPr>
        <w:t>2</w:t>
      </w:r>
      <w:r>
        <w:rPr>
          <w:rFonts w:asciiTheme="minorEastAsia" w:eastAsiaTheme="minorEastAsia" w:hAnsiTheme="minorEastAsia" w:cs="Arial" w:hint="eastAsia"/>
          <w:szCs w:val="21"/>
        </w:rPr>
        <w:t>）处于未上市期间的有价证券应区分如下情况处理：</w:t>
      </w:r>
    </w:p>
    <w:p w14:paraId="6FA956D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szCs w:val="21"/>
        </w:rPr>
        <w:fldChar w:fldCharType="begin"/>
      </w:r>
      <w:r>
        <w:rPr>
          <w:rFonts w:asciiTheme="minorEastAsia" w:eastAsiaTheme="minorEastAsia" w:hAnsiTheme="minorEastAsia" w:cs="Arial"/>
          <w:szCs w:val="21"/>
        </w:rPr>
        <w:instrText xml:space="preserve"> = 1 \* GB3 </w:instrText>
      </w:r>
      <w:r>
        <w:rPr>
          <w:rFonts w:asciiTheme="minorEastAsia" w:eastAsiaTheme="minorEastAsia" w:hAnsiTheme="minorEastAsia" w:cs="Arial"/>
          <w:szCs w:val="21"/>
        </w:rPr>
        <w:fldChar w:fldCharType="separate"/>
      </w:r>
      <w:r>
        <w:rPr>
          <w:rFonts w:asciiTheme="minorEastAsia" w:eastAsiaTheme="minorEastAsia" w:hAnsiTheme="minorEastAsia" w:cs="Arial" w:hint="eastAsia"/>
          <w:szCs w:val="21"/>
        </w:rPr>
        <w:t>①</w:t>
      </w:r>
      <w:r>
        <w:rPr>
          <w:rFonts w:asciiTheme="minorEastAsia" w:eastAsiaTheme="minorEastAsia" w:hAnsiTheme="minorEastAsia" w:cs="Arial"/>
          <w:szCs w:val="21"/>
        </w:rPr>
        <w:fldChar w:fldCharType="end"/>
      </w:r>
      <w:r>
        <w:rPr>
          <w:rFonts w:asciiTheme="minorEastAsia" w:eastAsiaTheme="minorEastAsia" w:hAnsiTheme="minorEastAsia" w:cs="Arial" w:hint="eastAsia"/>
          <w:szCs w:val="21"/>
        </w:rPr>
        <w:t>送股、转增股、配股和公开增发的新股，按估值日在证券交易所挂牌的同一股票的估值方法估值；该日无交易的，以最近一日的市价（收盘价）估值；</w:t>
      </w:r>
    </w:p>
    <w:p w14:paraId="4E762EE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szCs w:val="21"/>
        </w:rPr>
        <w:fldChar w:fldCharType="begin"/>
      </w:r>
      <w:r>
        <w:rPr>
          <w:rFonts w:asciiTheme="minorEastAsia" w:eastAsiaTheme="minorEastAsia" w:hAnsiTheme="minorEastAsia" w:cs="Arial"/>
          <w:szCs w:val="21"/>
        </w:rPr>
        <w:instrText xml:space="preserve"> = 2 \* GB3 </w:instrText>
      </w:r>
      <w:r>
        <w:rPr>
          <w:rFonts w:asciiTheme="minorEastAsia" w:eastAsiaTheme="minorEastAsia" w:hAnsiTheme="minorEastAsia" w:cs="Arial"/>
          <w:szCs w:val="21"/>
        </w:rPr>
        <w:fldChar w:fldCharType="separate"/>
      </w:r>
      <w:r>
        <w:rPr>
          <w:rFonts w:asciiTheme="minorEastAsia" w:eastAsiaTheme="minorEastAsia" w:hAnsiTheme="minorEastAsia" w:cs="Arial" w:hint="eastAsia"/>
          <w:szCs w:val="21"/>
        </w:rPr>
        <w:t>②</w:t>
      </w:r>
      <w:r>
        <w:rPr>
          <w:rFonts w:asciiTheme="minorEastAsia" w:eastAsiaTheme="minorEastAsia" w:hAnsiTheme="minorEastAsia" w:cs="Arial"/>
          <w:szCs w:val="21"/>
        </w:rPr>
        <w:fldChar w:fldCharType="end"/>
      </w:r>
      <w:r>
        <w:rPr>
          <w:rFonts w:asciiTheme="minorEastAsia" w:eastAsiaTheme="minorEastAsia" w:hAnsiTheme="minorEastAsia" w:cs="Arial" w:hint="eastAsia"/>
          <w:szCs w:val="21"/>
        </w:rPr>
        <w:t>首次公开发行未上市的股票，采用估值技术确定公允价值；</w:t>
      </w:r>
    </w:p>
    <w:p w14:paraId="26F1D7E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szCs w:val="21"/>
        </w:rPr>
        <w:fldChar w:fldCharType="begin"/>
      </w:r>
      <w:r>
        <w:rPr>
          <w:rFonts w:asciiTheme="minorEastAsia" w:eastAsiaTheme="minorEastAsia" w:hAnsiTheme="minorEastAsia" w:cs="Arial"/>
          <w:szCs w:val="21"/>
        </w:rPr>
        <w:instrText xml:space="preserve"> = 3 \* GB3 </w:instrText>
      </w:r>
      <w:r>
        <w:rPr>
          <w:rFonts w:asciiTheme="minorEastAsia" w:eastAsiaTheme="minorEastAsia" w:hAnsiTheme="minorEastAsia" w:cs="Arial"/>
          <w:szCs w:val="21"/>
        </w:rPr>
        <w:fldChar w:fldCharType="separate"/>
      </w:r>
      <w:r>
        <w:rPr>
          <w:rFonts w:asciiTheme="minorEastAsia" w:eastAsiaTheme="minorEastAsia" w:hAnsiTheme="minorEastAsia" w:cs="Arial" w:hint="eastAsia"/>
          <w:szCs w:val="21"/>
        </w:rPr>
        <w:t>③</w:t>
      </w:r>
      <w:r>
        <w:rPr>
          <w:rFonts w:asciiTheme="minorEastAsia" w:eastAsiaTheme="minorEastAsia" w:hAnsiTheme="minorEastAsia" w:cs="Arial"/>
          <w:szCs w:val="21"/>
        </w:rPr>
        <w:fldChar w:fldCharType="end"/>
      </w:r>
      <w:r>
        <w:rPr>
          <w:rFonts w:asciiTheme="minorEastAsia" w:eastAsiaTheme="minorEastAsia" w:hAnsiTheme="minorEastAsia" w:cs="Arial" w:hint="eastAsia"/>
          <w:szCs w:val="21"/>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Pr>
          <w:rFonts w:asciiTheme="minorEastAsia" w:eastAsiaTheme="minorEastAsia" w:hAnsiTheme="minorEastAsia" w:cs="Arial" w:hint="eastAsia"/>
          <w:szCs w:val="21"/>
        </w:rPr>
        <w:t>券</w:t>
      </w:r>
      <w:proofErr w:type="gramEnd"/>
      <w:r>
        <w:rPr>
          <w:rFonts w:asciiTheme="minorEastAsia" w:eastAsiaTheme="minorEastAsia" w:hAnsiTheme="minorEastAsia" w:cs="Arial" w:hint="eastAsia"/>
          <w:szCs w:val="21"/>
        </w:rPr>
        <w:t>等流通受限股票，按监管机构或行业协会有关规定确定公允价值。</w:t>
      </w:r>
    </w:p>
    <w:p w14:paraId="26F4115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w:t>
      </w:r>
      <w:r>
        <w:rPr>
          <w:rFonts w:asciiTheme="minorEastAsia" w:eastAsiaTheme="minorEastAsia" w:hAnsiTheme="minorEastAsia" w:cs="Arial"/>
          <w:szCs w:val="21"/>
        </w:rPr>
        <w:t>3</w:t>
      </w:r>
      <w:r>
        <w:rPr>
          <w:rFonts w:asciiTheme="minorEastAsia" w:eastAsiaTheme="minorEastAsia" w:hAnsiTheme="minorEastAsia" w:cs="Arial" w:hint="eastAsia"/>
          <w:szCs w:val="21"/>
        </w:rPr>
        <w:t>）以公允价值计量的固定收益估值品种估值</w:t>
      </w:r>
    </w:p>
    <w:p w14:paraId="7C4AAD7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szCs w:val="21"/>
        </w:rPr>
        <w:fldChar w:fldCharType="begin"/>
      </w:r>
      <w:r>
        <w:rPr>
          <w:rFonts w:asciiTheme="minorEastAsia" w:eastAsiaTheme="minorEastAsia" w:hAnsiTheme="minorEastAsia" w:cs="Arial"/>
          <w:szCs w:val="21"/>
        </w:rPr>
        <w:instrText xml:space="preserve"> = 1 \* GB3 </w:instrText>
      </w:r>
      <w:r>
        <w:rPr>
          <w:rFonts w:asciiTheme="minorEastAsia" w:eastAsiaTheme="minorEastAsia" w:hAnsiTheme="minorEastAsia" w:cs="Arial"/>
          <w:szCs w:val="21"/>
        </w:rPr>
        <w:fldChar w:fldCharType="separate"/>
      </w:r>
      <w:r>
        <w:rPr>
          <w:rFonts w:asciiTheme="minorEastAsia" w:eastAsiaTheme="minorEastAsia" w:hAnsiTheme="minorEastAsia" w:cs="Arial" w:hint="eastAsia"/>
          <w:szCs w:val="21"/>
        </w:rPr>
        <w:t>①</w:t>
      </w:r>
      <w:r>
        <w:rPr>
          <w:rFonts w:asciiTheme="minorEastAsia" w:eastAsiaTheme="minorEastAsia" w:hAnsiTheme="minorEastAsia" w:cs="Arial"/>
          <w:szCs w:val="21"/>
        </w:rPr>
        <w:fldChar w:fldCharType="end"/>
      </w:r>
      <w:r>
        <w:rPr>
          <w:rFonts w:asciiTheme="minorEastAsia" w:eastAsiaTheme="minorEastAsia" w:hAnsiTheme="minorEastAsia" w:cs="Arial" w:hint="eastAsia"/>
          <w:szCs w:val="21"/>
        </w:rPr>
        <w:t>对于已上市或已挂牌转让的不含</w:t>
      </w:r>
      <w:proofErr w:type="gramStart"/>
      <w:r>
        <w:rPr>
          <w:rFonts w:asciiTheme="minorEastAsia" w:eastAsiaTheme="minorEastAsia" w:hAnsiTheme="minorEastAsia" w:cs="Arial" w:hint="eastAsia"/>
          <w:szCs w:val="21"/>
        </w:rPr>
        <w:t>权固定</w:t>
      </w:r>
      <w:proofErr w:type="gramEnd"/>
      <w:r>
        <w:rPr>
          <w:rFonts w:asciiTheme="minorEastAsia" w:eastAsiaTheme="minorEastAsia" w:hAnsiTheme="minorEastAsia" w:cs="Arial" w:hint="eastAsia"/>
          <w:szCs w:val="21"/>
        </w:rPr>
        <w:t>收益品种（另有规定除外），选取第三方估值基准服务机构提供的相应品种当日的估值全价；</w:t>
      </w:r>
    </w:p>
    <w:p w14:paraId="57EEA80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szCs w:val="21"/>
        </w:rPr>
        <w:fldChar w:fldCharType="begin"/>
      </w:r>
      <w:r>
        <w:rPr>
          <w:rFonts w:asciiTheme="minorEastAsia" w:eastAsiaTheme="minorEastAsia" w:hAnsiTheme="minorEastAsia" w:cs="Arial"/>
          <w:szCs w:val="21"/>
        </w:rPr>
        <w:instrText xml:space="preserve"> = 2 \* GB3 </w:instrText>
      </w:r>
      <w:r>
        <w:rPr>
          <w:rFonts w:asciiTheme="minorEastAsia" w:eastAsiaTheme="minorEastAsia" w:hAnsiTheme="minorEastAsia" w:cs="Arial"/>
          <w:szCs w:val="21"/>
        </w:rPr>
        <w:fldChar w:fldCharType="separate"/>
      </w:r>
      <w:r>
        <w:rPr>
          <w:rFonts w:asciiTheme="minorEastAsia" w:eastAsiaTheme="minorEastAsia" w:hAnsiTheme="minorEastAsia" w:cs="Arial" w:hint="eastAsia"/>
          <w:szCs w:val="21"/>
        </w:rPr>
        <w:t>②</w:t>
      </w:r>
      <w:r>
        <w:rPr>
          <w:rFonts w:asciiTheme="minorEastAsia" w:eastAsiaTheme="minorEastAsia" w:hAnsiTheme="minorEastAsia" w:cs="Arial"/>
          <w:szCs w:val="21"/>
        </w:rPr>
        <w:fldChar w:fldCharType="end"/>
      </w:r>
      <w:r>
        <w:rPr>
          <w:rFonts w:asciiTheme="minorEastAsia" w:eastAsiaTheme="minorEastAsia" w:hAnsiTheme="minorEastAsia" w:cs="Arial" w:hint="eastAsia"/>
          <w:szCs w:val="21"/>
        </w:rPr>
        <w:t>对于已上市或已挂牌转让的含</w:t>
      </w:r>
      <w:proofErr w:type="gramStart"/>
      <w:r>
        <w:rPr>
          <w:rFonts w:asciiTheme="minorEastAsia" w:eastAsiaTheme="minorEastAsia" w:hAnsiTheme="minorEastAsia" w:cs="Arial" w:hint="eastAsia"/>
          <w:szCs w:val="21"/>
        </w:rPr>
        <w:t>权固定</w:t>
      </w:r>
      <w:proofErr w:type="gramEnd"/>
      <w:r>
        <w:rPr>
          <w:rFonts w:asciiTheme="minorEastAsia" w:eastAsiaTheme="minorEastAsia" w:hAnsiTheme="minorEastAsia" w:cs="Arial" w:hint="eastAsia"/>
          <w:szCs w:val="21"/>
        </w:rPr>
        <w:t>收益品种（另有规定除外），选取第三方估值基准服务机构提供的相应品种当日的唯一估值全价或推荐估值全价。</w:t>
      </w:r>
    </w:p>
    <w:p w14:paraId="79B09B5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对于含投资者回售权</w:t>
      </w:r>
      <w:r>
        <w:rPr>
          <w:rFonts w:asciiTheme="minorEastAsia" w:eastAsiaTheme="minorEastAsia" w:hAnsiTheme="minorEastAsia" w:hint="eastAsia"/>
        </w:rPr>
        <w:t>的固定收益品种，行使回售权的，在回售登记日至实际收款日期间选取第三方</w:t>
      </w:r>
      <w:r>
        <w:rPr>
          <w:rFonts w:asciiTheme="minorEastAsia" w:eastAsiaTheme="minorEastAsia" w:hAnsiTheme="minorEastAsia" w:cs="Arial" w:hint="eastAsia"/>
          <w:szCs w:val="21"/>
        </w:rPr>
        <w:t>估值基准服务机构提供的相应品种的唯一估值全价或推荐估值全价，同时应充分考虑发行人的信用风险变化对公允价值的影响。回售登记期截止日（含当日）后未行使回售权的建议按照长待偿期所对应的价格进行估值；</w:t>
      </w:r>
    </w:p>
    <w:p w14:paraId="0745069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szCs w:val="21"/>
        </w:rPr>
        <w:fldChar w:fldCharType="begin"/>
      </w:r>
      <w:r>
        <w:rPr>
          <w:rFonts w:asciiTheme="minorEastAsia" w:eastAsiaTheme="minorEastAsia" w:hAnsiTheme="minorEastAsia" w:cs="Arial"/>
          <w:szCs w:val="21"/>
        </w:rPr>
        <w:instrText xml:space="preserve"> = 3 \* GB3 </w:instrText>
      </w:r>
      <w:r>
        <w:rPr>
          <w:rFonts w:asciiTheme="minorEastAsia" w:eastAsiaTheme="minorEastAsia" w:hAnsiTheme="minorEastAsia" w:cs="Arial"/>
          <w:szCs w:val="21"/>
        </w:rPr>
        <w:fldChar w:fldCharType="separate"/>
      </w:r>
      <w:r>
        <w:rPr>
          <w:rFonts w:asciiTheme="minorEastAsia" w:eastAsiaTheme="minorEastAsia" w:hAnsiTheme="minorEastAsia" w:cs="Arial" w:hint="eastAsia"/>
          <w:szCs w:val="21"/>
        </w:rPr>
        <w:t>③</w:t>
      </w:r>
      <w:r>
        <w:rPr>
          <w:rFonts w:asciiTheme="minorEastAsia" w:eastAsiaTheme="minorEastAsia" w:hAnsiTheme="minorEastAsia" w:cs="Arial"/>
          <w:szCs w:val="21"/>
        </w:rPr>
        <w:fldChar w:fldCharType="end"/>
      </w:r>
      <w:r>
        <w:rPr>
          <w:rFonts w:asciiTheme="minorEastAsia" w:eastAsiaTheme="minorEastAsia" w:hAnsiTheme="minorEastAsia" w:cs="Arial" w:hint="eastAsia"/>
          <w:szCs w:val="21"/>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E19C31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szCs w:val="21"/>
        </w:rPr>
        <w:fldChar w:fldCharType="begin"/>
      </w:r>
      <w:r>
        <w:rPr>
          <w:rFonts w:asciiTheme="minorEastAsia" w:eastAsiaTheme="minorEastAsia" w:hAnsiTheme="minorEastAsia" w:cs="Arial"/>
          <w:szCs w:val="21"/>
        </w:rPr>
        <w:instrText xml:space="preserve"> = 4 \* GB3 </w:instrText>
      </w:r>
      <w:r>
        <w:rPr>
          <w:rFonts w:asciiTheme="minorEastAsia" w:eastAsiaTheme="minorEastAsia" w:hAnsiTheme="minorEastAsia" w:cs="Arial"/>
          <w:szCs w:val="21"/>
        </w:rPr>
        <w:fldChar w:fldCharType="separate"/>
      </w:r>
      <w:r>
        <w:rPr>
          <w:rFonts w:asciiTheme="minorEastAsia" w:eastAsiaTheme="minorEastAsia" w:hAnsiTheme="minorEastAsia" w:cs="Arial" w:hint="eastAsia"/>
          <w:szCs w:val="21"/>
        </w:rPr>
        <w:t>④</w:t>
      </w:r>
      <w:r>
        <w:rPr>
          <w:rFonts w:asciiTheme="minorEastAsia" w:eastAsiaTheme="minorEastAsia" w:hAnsiTheme="minorEastAsia" w:cs="Arial"/>
          <w:szCs w:val="21"/>
        </w:rPr>
        <w:fldChar w:fldCharType="end"/>
      </w:r>
      <w:r>
        <w:rPr>
          <w:rFonts w:asciiTheme="minorEastAsia" w:eastAsiaTheme="minorEastAsia" w:hAnsiTheme="minorEastAsia" w:cs="Arial" w:hint="eastAsia"/>
          <w:szCs w:val="21"/>
        </w:rPr>
        <w:t>对于未上市或未挂牌转让且不存在活跃市场的固定收益品种，应采用在当前情况下适用并且有足够可利用数据和其他信息支持的估值技术确定其公允价值。</w:t>
      </w:r>
    </w:p>
    <w:p w14:paraId="3D5F129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fldChar w:fldCharType="begin"/>
      </w:r>
      <w:r>
        <w:rPr>
          <w:rFonts w:asciiTheme="minorEastAsia" w:eastAsiaTheme="minorEastAsia" w:hAnsiTheme="minorEastAsia" w:cs="Arial" w:hint="eastAsia"/>
          <w:szCs w:val="21"/>
        </w:rPr>
        <w:instrText xml:space="preserve"> = 5 \* GB3 </w:instrText>
      </w:r>
      <w:r>
        <w:rPr>
          <w:rFonts w:asciiTheme="minorEastAsia" w:eastAsiaTheme="minorEastAsia" w:hAnsiTheme="minorEastAsia" w:cs="Arial" w:hint="eastAsia"/>
          <w:szCs w:val="21"/>
        </w:rPr>
        <w:fldChar w:fldCharType="separate"/>
      </w:r>
      <w:r>
        <w:rPr>
          <w:rFonts w:asciiTheme="minorEastAsia" w:eastAsiaTheme="minorEastAsia" w:hAnsiTheme="minorEastAsia" w:cs="Arial" w:hint="eastAsia"/>
          <w:szCs w:val="21"/>
        </w:rPr>
        <w:t>⑤</w:t>
      </w:r>
      <w:r>
        <w:rPr>
          <w:rFonts w:asciiTheme="minorEastAsia" w:eastAsiaTheme="minorEastAsia" w:hAnsiTheme="minorEastAsia" w:cs="Arial" w:hint="eastAsia"/>
          <w:szCs w:val="21"/>
        </w:rPr>
        <w:fldChar w:fldCharType="end"/>
      </w:r>
      <w:r>
        <w:rPr>
          <w:rFonts w:asciiTheme="minorEastAsia" w:eastAsiaTheme="minorEastAsia" w:hAnsiTheme="minorEastAsia" w:cs="Arial" w:hint="eastAsia"/>
          <w:szCs w:val="21"/>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035909C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w:t>
      </w:r>
      <w:r>
        <w:rPr>
          <w:rFonts w:asciiTheme="minorEastAsia" w:eastAsiaTheme="minorEastAsia" w:hAnsiTheme="minorEastAsia" w:cs="Arial"/>
          <w:szCs w:val="21"/>
        </w:rPr>
        <w:t>4）同一</w:t>
      </w:r>
      <w:r>
        <w:rPr>
          <w:rFonts w:asciiTheme="minorEastAsia" w:eastAsiaTheme="minorEastAsia" w:hAnsiTheme="minorEastAsia" w:cs="Arial" w:hint="eastAsia"/>
          <w:szCs w:val="21"/>
        </w:rPr>
        <w:t>证券</w:t>
      </w:r>
      <w:r>
        <w:rPr>
          <w:rFonts w:asciiTheme="minorEastAsia" w:eastAsiaTheme="minorEastAsia" w:hAnsiTheme="minorEastAsia" w:cs="Arial"/>
          <w:szCs w:val="21"/>
        </w:rPr>
        <w:t>同时在两个或两个以上市场交易的，按</w:t>
      </w:r>
      <w:r>
        <w:rPr>
          <w:rFonts w:asciiTheme="minorEastAsia" w:eastAsiaTheme="minorEastAsia" w:hAnsiTheme="minorEastAsia" w:cs="Arial" w:hint="eastAsia"/>
          <w:szCs w:val="21"/>
        </w:rPr>
        <w:t>证券</w:t>
      </w:r>
      <w:r>
        <w:rPr>
          <w:rFonts w:asciiTheme="minorEastAsia" w:eastAsiaTheme="minorEastAsia" w:hAnsiTheme="minorEastAsia" w:cs="Arial"/>
          <w:szCs w:val="21"/>
        </w:rPr>
        <w:t>所处的市场分别估值。</w:t>
      </w:r>
    </w:p>
    <w:p w14:paraId="09D9698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w:t>
      </w:r>
      <w:r>
        <w:rPr>
          <w:rFonts w:asciiTheme="minorEastAsia" w:eastAsiaTheme="minorEastAsia" w:hAnsiTheme="minorEastAsia" w:cs="Arial"/>
          <w:szCs w:val="21"/>
        </w:rPr>
        <w:t>5）持有的银行定期存款或通知存款以本金列示，按相应利率逐日计提利息。</w:t>
      </w:r>
    </w:p>
    <w:p w14:paraId="74B2C73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lastRenderedPageBreak/>
        <w:t>（</w:t>
      </w:r>
      <w:r>
        <w:rPr>
          <w:rFonts w:asciiTheme="minorEastAsia" w:eastAsiaTheme="minorEastAsia" w:hAnsiTheme="minorEastAsia" w:cs="Arial"/>
          <w:szCs w:val="21"/>
        </w:rPr>
        <w:t>6）</w:t>
      </w:r>
      <w:r>
        <w:rPr>
          <w:rFonts w:asciiTheme="minorEastAsia" w:eastAsiaTheme="minorEastAsia" w:hAnsiTheme="minorEastAsia" w:cs="Arial" w:hint="eastAsia"/>
          <w:szCs w:val="21"/>
        </w:rPr>
        <w:t>股指期货、国债期货合约以估值当日结算价进行估值，估值日无结算价的，且最近交易日后经济环境未发生重大变化，采用最近交易日结算价估值。</w:t>
      </w:r>
    </w:p>
    <w:p w14:paraId="0990B0DE" w14:textId="77777777" w:rsidR="002B077A" w:rsidRDefault="00DB5093">
      <w:pPr>
        <w:adjustRightInd w:val="0"/>
        <w:snapToGrid w:val="0"/>
        <w:spacing w:line="360" w:lineRule="auto"/>
        <w:ind w:firstLineChars="200" w:firstLine="420"/>
        <w:rPr>
          <w:rFonts w:cs="Arial"/>
        </w:rPr>
      </w:pPr>
      <w:r>
        <w:rPr>
          <w:rFonts w:asciiTheme="minorEastAsia" w:eastAsiaTheme="minorEastAsia" w:hAnsiTheme="minorEastAsia" w:cs="Arial" w:hint="eastAsia"/>
          <w:szCs w:val="21"/>
        </w:rPr>
        <w:t>（7）本基金投资存托凭证的估值核算，按照境内</w:t>
      </w:r>
      <w:r>
        <w:rPr>
          <w:rFonts w:cs="Arial" w:hint="eastAsia"/>
        </w:rPr>
        <w:t>上市交易的股票执行。</w:t>
      </w:r>
    </w:p>
    <w:p w14:paraId="0EDDF71D" w14:textId="77777777" w:rsidR="002B077A" w:rsidRDefault="00DB5093">
      <w:pPr>
        <w:adjustRightInd w:val="0"/>
        <w:snapToGrid w:val="0"/>
        <w:spacing w:line="360" w:lineRule="auto"/>
        <w:ind w:firstLineChars="200" w:firstLine="420"/>
        <w:rPr>
          <w:rFonts w:cs="Arial"/>
        </w:rPr>
      </w:pPr>
      <w:r>
        <w:rPr>
          <w:rFonts w:cs="Arial" w:hint="eastAsia"/>
        </w:rPr>
        <w:t>（</w:t>
      </w:r>
      <w:r>
        <w:rPr>
          <w:rFonts w:cs="Arial" w:hint="eastAsia"/>
        </w:rPr>
        <w:t>8</w:t>
      </w:r>
      <w:r>
        <w:rPr>
          <w:rFonts w:cs="Arial" w:hint="eastAsia"/>
        </w:rPr>
        <w:t>）估值计算中涉及港币对人民币汇率的，将依据下列信息提供机构所提供的汇率为基准：当日中国人民银行或其授权机构公布的人民币与港币的中间价。</w:t>
      </w:r>
    </w:p>
    <w:p w14:paraId="745DCB6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9）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4D52282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（10）如有确凿证据表明按上述方法进行估值不能客观反映其公允价值的，基金管理人可根据具体情况与基金托管人商定后，按最能反映公允价值的价格估值。</w:t>
      </w:r>
    </w:p>
    <w:p w14:paraId="63DA6CD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（11）当发生大额申购或赎回情形时，基金管理人可以采用摆动定价机制，以确保基金估值的公平性。</w:t>
      </w:r>
    </w:p>
    <w:p w14:paraId="4D8ED27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（12）相关法律法规以及监管部门有强制规定的，从其规定。如有新增事项，按国家最新规定估值。</w:t>
      </w:r>
    </w:p>
    <w:p w14:paraId="7B2E09C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14:paraId="303B227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基金管理人向基金托管人出具盖章的书面说明后，按照基金管理人对基金净值信息的计算结果对外予以公布。</w:t>
      </w:r>
    </w:p>
    <w:bookmarkEnd w:id="89"/>
    <w:p w14:paraId="67A6082B" w14:textId="77777777" w:rsidR="002B077A" w:rsidRDefault="00DB5093">
      <w:pPr>
        <w:adjustRightInd w:val="0"/>
        <w:snapToGrid w:val="0"/>
        <w:spacing w:line="360" w:lineRule="auto"/>
        <w:ind w:firstLineChars="200" w:firstLine="420"/>
      </w:pPr>
      <w:r>
        <w:rPr>
          <w:rFonts w:hint="eastAsia"/>
        </w:rPr>
        <w:t>3.</w:t>
      </w:r>
      <w:r>
        <w:rPr>
          <w:rFonts w:hint="eastAsia"/>
        </w:rPr>
        <w:t>特殊情形的处理</w:t>
      </w:r>
    </w:p>
    <w:p w14:paraId="67944AC3" w14:textId="77777777" w:rsidR="002B077A" w:rsidRDefault="00DB5093">
      <w:pPr>
        <w:adjustRightInd w:val="0"/>
        <w:snapToGrid w:val="0"/>
        <w:spacing w:line="360" w:lineRule="auto"/>
        <w:ind w:firstLineChars="200" w:firstLine="420"/>
        <w:rPr>
          <w:rFonts w:cs="Arial"/>
        </w:rPr>
      </w:pPr>
      <w:r>
        <w:rPr>
          <w:rFonts w:hint="eastAsia"/>
        </w:rPr>
        <w:t>基金管理人、基金托管人按估值方法的第（</w:t>
      </w:r>
      <w:r>
        <w:t>10</w:t>
      </w:r>
      <w:r>
        <w:rPr>
          <w:rFonts w:hint="eastAsia"/>
        </w:rPr>
        <w:t>）项进行估值时，所造成的误差不作为基金资产估值</w:t>
      </w:r>
      <w:r>
        <w:rPr>
          <w:rFonts w:cs="Arial" w:hint="eastAsia"/>
        </w:rPr>
        <w:t>错误处理。</w:t>
      </w:r>
    </w:p>
    <w:p w14:paraId="3F04FF5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cs="Arial" w:hint="eastAsia"/>
        </w:rPr>
        <w:t>由于不可抗力，或证券、期货交易场所、登记结算机构或存款银行等第三方机构发送的数据错误等原因，基金管理人和基金托管人虽然已经采取必要、适当、合理的措施进行检查，但未能发现错误或者</w:t>
      </w:r>
      <w:proofErr w:type="gramStart"/>
      <w:r>
        <w:rPr>
          <w:rFonts w:cs="Arial" w:hint="eastAsia"/>
        </w:rPr>
        <w:t>虽发现</w:t>
      </w:r>
      <w:proofErr w:type="gramEnd"/>
      <w:r>
        <w:rPr>
          <w:rFonts w:cs="Arial" w:hint="eastAsia"/>
        </w:rPr>
        <w:t>错误但因前述原因无法更正的，由此造成的基金资产估值错误，基金管理人和基金托管人免除赔偿责任。但基金管理人、基金托管人应当积极采取必要的措施消除或减轻</w:t>
      </w:r>
      <w:r>
        <w:rPr>
          <w:rFonts w:asciiTheme="minorEastAsia" w:eastAsiaTheme="minorEastAsia" w:hAnsiTheme="minorEastAsia" w:cs="Arial" w:hint="eastAsia"/>
          <w:szCs w:val="21"/>
        </w:rPr>
        <w:t>由此造成的影响。</w:t>
      </w:r>
    </w:p>
    <w:p w14:paraId="3DC3B68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（三）基金份额净值错误的处理方式</w:t>
      </w:r>
    </w:p>
    <w:p w14:paraId="183DDBF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当任一类基金份额净值小数点后4位以内(含第4位)发生估值错误时，视为该类基金份额净值错误；任一类基金份额净值计算出现错误时，基金管理人应当立即予以纠正，通报基金托管人，并采取合理的措施防止损失进一步扩大；任一类基金份额净值估值错误偏差达到该</w:t>
      </w:r>
      <w:r>
        <w:rPr>
          <w:rFonts w:asciiTheme="minorEastAsia" w:eastAsiaTheme="minorEastAsia" w:hAnsiTheme="minorEastAsia" w:cs="Arial" w:hint="eastAsia"/>
          <w:szCs w:val="21"/>
        </w:rPr>
        <w:lastRenderedPageBreak/>
        <w:t>类基金份额净值的0.25%时，基金管理人应当通报基金托管人并报中国证监会备案；错误偏差达到该类基金份额净值的0.5%时，基金管理人应当公告，并报中国证监会备案；当发生净值计算错误时，由基金管理人负责处理，由此给基金份额持有人和基金造成损失的，应由基金管理人先行赔付，基金管理人按差错情形，有权向其他当事人追偿。</w:t>
      </w:r>
    </w:p>
    <w:p w14:paraId="182C6FC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2.当基金份额净值计算差错给基金和基金份额持有人造成损失需要进行赔偿时，基金管理人和基金托管人应根据实际情况界定双方承担的责任，经确认后按以下条款进行赔偿：</w:t>
      </w:r>
    </w:p>
    <w:p w14:paraId="7BC9892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14:paraId="7D9F5EC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w:t>
      </w:r>
      <w:proofErr w:type="gramStart"/>
      <w:r>
        <w:rPr>
          <w:rFonts w:asciiTheme="minorEastAsia" w:eastAsiaTheme="minorEastAsia" w:hAnsiTheme="minorEastAsia" w:cs="Arial" w:hint="eastAsia"/>
          <w:szCs w:val="21"/>
        </w:rPr>
        <w:t>若基金</w:t>
      </w:r>
      <w:proofErr w:type="gramEnd"/>
      <w:r>
        <w:rPr>
          <w:rFonts w:asciiTheme="minorEastAsia" w:eastAsiaTheme="minorEastAsia" w:hAnsiTheme="minorEastAsia" w:cs="Arial" w:hint="eastAsia"/>
          <w:szCs w:val="21"/>
        </w:rPr>
        <w:t>管理人计算的各类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14:paraId="6604E32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如基金管理人和基金托管人对各类基金份额净值的计算结果，虽然多次重新计算和核对，尚不能达成一致时，为避免不能按时公布各类基金份额净值的情形，以基金管理人的计算结果对外公布，由此给基金份额持有人和基金造成的损失，由基金管理人负责赔付。</w:t>
      </w:r>
    </w:p>
    <w:p w14:paraId="648BDCD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(4)由于基金管理人提供的信息错误（包括但不限于基金申购或赎回金额等），进而导致基金份额净值计算错误而引起的基金份额持有人和基金财产的损失，由基金管理人负责赔付。</w:t>
      </w:r>
    </w:p>
    <w:p w14:paraId="64A3CD0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3.基金管理人和基金托管人由于各自技术系统设置而产生的净值计算尾差，以基金管理人计算结果为准。</w:t>
      </w:r>
    </w:p>
    <w:p w14:paraId="7AFCF30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4.前述内容如法律法规或监管机关另有规定的，从其规定处理。如果行业另有通行做法，基金管理人和基金托管人应本着平等和保护基金份额持有人利益的原则进行协商。</w:t>
      </w:r>
    </w:p>
    <w:p w14:paraId="55047F4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（四）暂停估值的情形</w:t>
      </w:r>
    </w:p>
    <w:p w14:paraId="2893ACE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1.基金投资所涉及的证券/期货交易市场遇法定节假日或因其他原因暂停营业时；</w:t>
      </w:r>
    </w:p>
    <w:p w14:paraId="445DA35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2.因不可抗力致使基金管理人、基金托管人无法准确评估基金资产价值时；</w:t>
      </w:r>
    </w:p>
    <w:p w14:paraId="574F1C2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3.当特定资产占前一估值日基金资产净值50%以上的，经与基金托管人协商确认后，基金管理人应当暂停估值；</w:t>
      </w:r>
    </w:p>
    <w:p w14:paraId="10F7500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4.中国证监会和《基金合同》认定的其它情形。</w:t>
      </w:r>
    </w:p>
    <w:p w14:paraId="7AC5997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（五）基金会计制度</w:t>
      </w:r>
    </w:p>
    <w:p w14:paraId="099D7FA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按国家有关部门规定的会计制度执行。</w:t>
      </w:r>
    </w:p>
    <w:p w14:paraId="7A36718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（六）基金账册的建立</w:t>
      </w:r>
    </w:p>
    <w:p w14:paraId="15AEDFD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基金管理人进行基金会计核算并编制基金财务会计报告。基金管理人独立地设置、记录和保管本基金的全套账册。</w:t>
      </w:r>
      <w:proofErr w:type="gramStart"/>
      <w:r>
        <w:rPr>
          <w:rFonts w:asciiTheme="minorEastAsia" w:eastAsiaTheme="minorEastAsia" w:hAnsiTheme="minorEastAsia" w:cs="Arial" w:hint="eastAsia"/>
          <w:szCs w:val="21"/>
        </w:rPr>
        <w:t>若基金</w:t>
      </w:r>
      <w:proofErr w:type="gramEnd"/>
      <w:r>
        <w:rPr>
          <w:rFonts w:asciiTheme="minorEastAsia" w:eastAsiaTheme="minorEastAsia" w:hAnsiTheme="minorEastAsia" w:cs="Arial" w:hint="eastAsia"/>
          <w:szCs w:val="21"/>
        </w:rPr>
        <w:t>管理人和基金托管人对会计处理方法存在分歧，应以基金管理人的处理方法为准。若当日核对不符，暂时无法查找到错账的原因而影响到基金资产净值的计</w:t>
      </w:r>
      <w:r>
        <w:rPr>
          <w:rFonts w:asciiTheme="minorEastAsia" w:eastAsiaTheme="minorEastAsia" w:hAnsiTheme="minorEastAsia" w:cs="Arial" w:hint="eastAsia"/>
          <w:szCs w:val="21"/>
        </w:rPr>
        <w:lastRenderedPageBreak/>
        <w:t>算和公告的，以基金管理人的账册为准。</w:t>
      </w:r>
    </w:p>
    <w:p w14:paraId="70CD851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（七）基金财务报表与报告的编制和复核</w:t>
      </w:r>
    </w:p>
    <w:p w14:paraId="177751E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1.财务报表的编制</w:t>
      </w:r>
    </w:p>
    <w:p w14:paraId="578D7AF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基金财务报表由基金管理人编制，基金托管人复核。</w:t>
      </w:r>
    </w:p>
    <w:p w14:paraId="69B2EEC1"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2.报表复核</w:t>
      </w:r>
    </w:p>
    <w:p w14:paraId="107E559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基金托管人在收到基金管理人编制的基金财务报表后，进行独立的复核。核对不符时，应及时通知基金管理人共同查出原因，进行调整，直至双方数据完全一致。</w:t>
      </w:r>
    </w:p>
    <w:p w14:paraId="59A5E51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3.财务报表的编制与复核时间安排</w:t>
      </w:r>
    </w:p>
    <w:p w14:paraId="4C523A0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(1)报表的编制</w:t>
      </w:r>
    </w:p>
    <w:p w14:paraId="098A2CB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应当在每月结束后5个工作日内完成月度报表的编制；《基金合同》生效后，基金招募说明书、基金产品资料概要的信息发生重大变更的，基金管理人应当在3个工作日内，更新基金招募说明书、基金产品资料概要并登载在规定网站上，同时还应当将基金产品资料概要登载在基金销售机构网站或营业网点；基金招募说明书、基金产品资料概要其他信息发生变更的，基金管理人至少每年更新一次。基金终止运作的，基金管理人不再更新基金招募说明书和基金产品资料概要。在每个季度结束之日起15个工作日内完成基金季度报告的编制；在上半年结束之日起2个月内完成基金中期报告的编制；在每年结束之日起3个月内完成基金年度报告的编制。基金年度报告的财务会计报告应当经过符合《中华人民共和国证券法》规定的会计师事务所审计。《基金合同》生效不足2个月的，基金管理人可以不编制当期季度报告、中期报告或者年度报告。</w:t>
      </w:r>
    </w:p>
    <w:p w14:paraId="14E2251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(2)报表的复核</w:t>
      </w:r>
    </w:p>
    <w:p w14:paraId="42B607E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基金管理人应及时完成报表编制，将有关报表提供基金托管人复核；基金托管人在复核过程中，发现双方的报表存在不符时，基金管理人和基金托管人应共同查明原因，进行调整，调整以国家有关规定为准。</w:t>
      </w:r>
    </w:p>
    <w:p w14:paraId="5C59D7E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基金管理人应留足充分的时间，便于基金托管人复核相关报表及报告。</w:t>
      </w:r>
      <w:r w:rsidRPr="00FB17F4">
        <w:rPr>
          <w:rFonts w:asciiTheme="minorEastAsia" w:eastAsiaTheme="minorEastAsia" w:hAnsiTheme="minorEastAsia" w:cs="Arial" w:hint="eastAsia"/>
          <w:szCs w:val="21"/>
        </w:rPr>
        <w:t>如果基金管理人与基金托管人不能</w:t>
      </w:r>
      <w:proofErr w:type="gramStart"/>
      <w:r w:rsidRPr="00FB17F4">
        <w:rPr>
          <w:rFonts w:asciiTheme="minorEastAsia" w:eastAsiaTheme="minorEastAsia" w:hAnsiTheme="minorEastAsia" w:cs="Arial" w:hint="eastAsia"/>
          <w:szCs w:val="21"/>
        </w:rPr>
        <w:t>于应当</w:t>
      </w:r>
      <w:proofErr w:type="gramEnd"/>
      <w:r w:rsidRPr="00FB17F4">
        <w:rPr>
          <w:rFonts w:asciiTheme="minorEastAsia" w:eastAsiaTheme="minorEastAsia" w:hAnsiTheme="minorEastAsia" w:cs="Arial" w:hint="eastAsia"/>
          <w:szCs w:val="21"/>
        </w:rPr>
        <w:t>发布公告之日之前就相关报表达成一致，基金管理人按照其编制的报表对外发布公告，基金托管人有权就相关情况报中国证监会备案。</w:t>
      </w:r>
    </w:p>
    <w:p w14:paraId="3FF357B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（八）基金管理人应在编制季度报告、中期报告或者年度报告之前及时向基金托管人提供基金业绩比较基准的基础数据和编制结果。</w:t>
      </w:r>
    </w:p>
    <w:p w14:paraId="7579A57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（九）实施</w:t>
      </w:r>
      <w:proofErr w:type="gramStart"/>
      <w:r>
        <w:rPr>
          <w:rFonts w:asciiTheme="minorEastAsia" w:eastAsiaTheme="minorEastAsia" w:hAnsiTheme="minorEastAsia" w:cs="Arial" w:hint="eastAsia"/>
          <w:szCs w:val="21"/>
        </w:rPr>
        <w:t>侧袋机制</w:t>
      </w:r>
      <w:proofErr w:type="gramEnd"/>
      <w:r>
        <w:rPr>
          <w:rFonts w:asciiTheme="minorEastAsia" w:eastAsiaTheme="minorEastAsia" w:hAnsiTheme="minorEastAsia" w:cs="Arial" w:hint="eastAsia"/>
          <w:szCs w:val="21"/>
        </w:rPr>
        <w:t>期间的基金资产估值</w:t>
      </w:r>
    </w:p>
    <w:p w14:paraId="56CE45E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本基金实施</w:t>
      </w:r>
      <w:proofErr w:type="gramStart"/>
      <w:r>
        <w:rPr>
          <w:rFonts w:asciiTheme="minorEastAsia" w:eastAsiaTheme="minorEastAsia" w:hAnsiTheme="minorEastAsia" w:cs="Arial" w:hint="eastAsia"/>
          <w:szCs w:val="21"/>
        </w:rPr>
        <w:t>侧袋机制</w:t>
      </w:r>
      <w:proofErr w:type="gramEnd"/>
      <w:r>
        <w:rPr>
          <w:rFonts w:asciiTheme="minorEastAsia" w:eastAsiaTheme="minorEastAsia" w:hAnsiTheme="minorEastAsia" w:cs="Arial" w:hint="eastAsia"/>
          <w:szCs w:val="21"/>
        </w:rPr>
        <w:t>的，应根据本部分的约定</w:t>
      </w:r>
      <w:proofErr w:type="gramStart"/>
      <w:r>
        <w:rPr>
          <w:rFonts w:asciiTheme="minorEastAsia" w:eastAsiaTheme="minorEastAsia" w:hAnsiTheme="minorEastAsia" w:cs="Arial" w:hint="eastAsia"/>
          <w:szCs w:val="21"/>
        </w:rPr>
        <w:t>对主袋账户</w:t>
      </w:r>
      <w:proofErr w:type="gramEnd"/>
      <w:r>
        <w:rPr>
          <w:rFonts w:asciiTheme="minorEastAsia" w:eastAsiaTheme="minorEastAsia" w:hAnsiTheme="minorEastAsia" w:cs="Arial" w:hint="eastAsia"/>
          <w:szCs w:val="21"/>
        </w:rPr>
        <w:t>资产进行估值并</w:t>
      </w:r>
      <w:proofErr w:type="gramStart"/>
      <w:r>
        <w:rPr>
          <w:rFonts w:asciiTheme="minorEastAsia" w:eastAsiaTheme="minorEastAsia" w:hAnsiTheme="minorEastAsia" w:cs="Arial" w:hint="eastAsia"/>
          <w:szCs w:val="21"/>
        </w:rPr>
        <w:t>披露主袋账户</w:t>
      </w:r>
      <w:proofErr w:type="gramEnd"/>
      <w:r>
        <w:rPr>
          <w:rFonts w:asciiTheme="minorEastAsia" w:eastAsiaTheme="minorEastAsia" w:hAnsiTheme="minorEastAsia" w:cs="Arial" w:hint="eastAsia"/>
          <w:szCs w:val="21"/>
        </w:rPr>
        <w:t>的基金净值信息，暂停</w:t>
      </w:r>
      <w:proofErr w:type="gramStart"/>
      <w:r>
        <w:rPr>
          <w:rFonts w:asciiTheme="minorEastAsia" w:eastAsiaTheme="minorEastAsia" w:hAnsiTheme="minorEastAsia" w:cs="Arial" w:hint="eastAsia"/>
          <w:szCs w:val="21"/>
        </w:rPr>
        <w:t>披露侧袋账户</w:t>
      </w:r>
      <w:proofErr w:type="gramEnd"/>
      <w:r>
        <w:rPr>
          <w:rFonts w:asciiTheme="minorEastAsia" w:eastAsiaTheme="minorEastAsia" w:hAnsiTheme="minorEastAsia" w:cs="Arial" w:hint="eastAsia"/>
          <w:szCs w:val="21"/>
        </w:rPr>
        <w:t>份额净值。</w:t>
      </w:r>
    </w:p>
    <w:p w14:paraId="425BE603" w14:textId="77777777" w:rsidR="002B077A" w:rsidRDefault="002B077A">
      <w:pPr>
        <w:pStyle w:val="a0"/>
        <w:adjustRightInd w:val="0"/>
        <w:snapToGrid w:val="0"/>
        <w:spacing w:line="360" w:lineRule="auto"/>
        <w:rPr>
          <w:rFonts w:asciiTheme="minorEastAsia" w:eastAsiaTheme="minorEastAsia" w:hAnsiTheme="minorEastAsia" w:cs="Arial"/>
          <w:szCs w:val="21"/>
        </w:rPr>
      </w:pPr>
    </w:p>
    <w:p w14:paraId="5A93E50B" w14:textId="77777777" w:rsidR="002B077A" w:rsidRDefault="002B077A">
      <w:pPr>
        <w:pStyle w:val="a0"/>
        <w:adjustRightInd w:val="0"/>
        <w:snapToGrid w:val="0"/>
        <w:spacing w:line="360" w:lineRule="auto"/>
        <w:ind w:firstLineChars="0" w:firstLine="0"/>
        <w:rPr>
          <w:rFonts w:asciiTheme="minorEastAsia" w:eastAsiaTheme="minorEastAsia" w:hAnsiTheme="minorEastAsia" w:cs="Arial"/>
          <w:szCs w:val="21"/>
        </w:rPr>
      </w:pPr>
    </w:p>
    <w:p w14:paraId="76C6BCAC" w14:textId="77777777" w:rsidR="002B077A" w:rsidRDefault="00DB5093">
      <w:pPr>
        <w:widowControl/>
        <w:spacing w:line="360" w:lineRule="auto"/>
        <w:jc w:val="left"/>
        <w:rPr>
          <w:rFonts w:asciiTheme="minorEastAsia" w:eastAsiaTheme="minorEastAsia" w:hAnsiTheme="minorEastAsia"/>
          <w:b/>
          <w:szCs w:val="21"/>
        </w:rPr>
      </w:pPr>
      <w:r>
        <w:rPr>
          <w:rFonts w:asciiTheme="minorEastAsia" w:eastAsiaTheme="minorEastAsia" w:hAnsiTheme="minorEastAsia"/>
          <w:szCs w:val="21"/>
        </w:rPr>
        <w:br w:type="page"/>
      </w:r>
    </w:p>
    <w:p w14:paraId="4140FEFB"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90" w:name="_Toc520904542"/>
      <w:r>
        <w:rPr>
          <w:rFonts w:asciiTheme="minorEastAsia" w:eastAsiaTheme="minorEastAsia" w:hAnsiTheme="minorEastAsia" w:hint="eastAsia"/>
          <w:sz w:val="21"/>
          <w:szCs w:val="21"/>
        </w:rPr>
        <w:lastRenderedPageBreak/>
        <w:t>九、基金收益分配</w:t>
      </w:r>
      <w:bookmarkEnd w:id="90"/>
    </w:p>
    <w:p w14:paraId="7582BD9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基金收益分配是指按规定将基金的可分配收益按基金份额进行比例分配。</w:t>
      </w:r>
    </w:p>
    <w:p w14:paraId="33B15FD1"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（一）基金收益分配的原则</w:t>
      </w:r>
    </w:p>
    <w:p w14:paraId="36B5B3D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基金收益分配应遵循下列原则：</w:t>
      </w:r>
    </w:p>
    <w:p w14:paraId="73C1DE1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1、在符合有关基金分红条件的前提下，基金管理人可以根据实际情况进行收益分配，具体分配方案以公告为准，若《基金合同》生效不满3个月可不进行收益分配；</w:t>
      </w:r>
    </w:p>
    <w:p w14:paraId="6F71995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 xml:space="preserve">2、本基金收益分配方式分两种：现金分红与红利再投资，投资者可选择现金红利或将现金红利自动转为同一类别的基金份额进行再投资；若投资者不选择，本基金默认的收益分配方式是现金分红； </w:t>
      </w:r>
    </w:p>
    <w:p w14:paraId="7414134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3、基金收益分配后任一类基金份额净值不能低于面值，即基金收益分配基准日的任一类基金份额净值减去该类别每单位基金份额收益分配金额后不能低于面值；</w:t>
      </w:r>
    </w:p>
    <w:p w14:paraId="4134EDC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4、本基金同一类别的每一基金份额享有同等分配权，由于本基金A类基金份额不收取销售服务费，C类基金份额收取销售服务费，各基金份额类别对应的可供分配利润将有所不同；</w:t>
      </w:r>
    </w:p>
    <w:p w14:paraId="2691BFE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5、法律法规或监管机关另有规定的，从其规定。</w:t>
      </w:r>
    </w:p>
    <w:p w14:paraId="407CFDD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在不违反法律法规和监管部门规定且对基金份额持有人利益无实质不利影响的前提下，基金管理人可在按照监管部门要求履行适当程序后，经与基金托管人协商一致调整基金收益的分配原则和支付方式，不需召开基金份额持有人大会审议。</w:t>
      </w:r>
    </w:p>
    <w:p w14:paraId="16237FB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（二）基金收益分配的时间和程序</w:t>
      </w:r>
    </w:p>
    <w:p w14:paraId="6AE7826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基金收益分配方案由基金管理人拟定，并由基金托管人复核，依照《信息披露办法》的有关规定在规定媒介公告。基金收益分配方案公告后(依据具体方案的规定)，基金管理人就支付的现金红利向基金托管人发送划款指令，基金托管人按照基金管理人的指令及时进行分红资金的划付。</w:t>
      </w:r>
    </w:p>
    <w:p w14:paraId="4E83352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1A9A59B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（三）实施</w:t>
      </w:r>
      <w:proofErr w:type="gramStart"/>
      <w:r>
        <w:rPr>
          <w:rFonts w:asciiTheme="minorEastAsia" w:eastAsiaTheme="minorEastAsia" w:hAnsiTheme="minorEastAsia" w:cs="Arial" w:hint="eastAsia"/>
          <w:szCs w:val="21"/>
        </w:rPr>
        <w:t>侧袋机制</w:t>
      </w:r>
      <w:proofErr w:type="gramEnd"/>
      <w:r>
        <w:rPr>
          <w:rFonts w:asciiTheme="minorEastAsia" w:eastAsiaTheme="minorEastAsia" w:hAnsiTheme="minorEastAsia" w:cs="Arial" w:hint="eastAsia"/>
          <w:szCs w:val="21"/>
        </w:rPr>
        <w:t>期间的收益分配</w:t>
      </w:r>
    </w:p>
    <w:p w14:paraId="2E702E00" w14:textId="77777777" w:rsidR="002B077A" w:rsidRDefault="00DB5093">
      <w:pPr>
        <w:tabs>
          <w:tab w:val="right" w:pos="8504"/>
        </w:tabs>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本基金实施</w:t>
      </w:r>
      <w:proofErr w:type="gramStart"/>
      <w:r>
        <w:rPr>
          <w:rFonts w:asciiTheme="minorEastAsia" w:eastAsiaTheme="minorEastAsia" w:hAnsiTheme="minorEastAsia" w:cs="Arial" w:hint="eastAsia"/>
          <w:szCs w:val="21"/>
        </w:rPr>
        <w:t>侧袋机制</w:t>
      </w:r>
      <w:proofErr w:type="gramEnd"/>
      <w:r>
        <w:rPr>
          <w:rFonts w:asciiTheme="minorEastAsia" w:eastAsiaTheme="minorEastAsia" w:hAnsiTheme="minorEastAsia" w:cs="Arial" w:hint="eastAsia"/>
          <w:szCs w:val="21"/>
        </w:rPr>
        <w:t>的，</w:t>
      </w:r>
      <w:proofErr w:type="gramStart"/>
      <w:r>
        <w:rPr>
          <w:rFonts w:asciiTheme="minorEastAsia" w:eastAsiaTheme="minorEastAsia" w:hAnsiTheme="minorEastAsia" w:cs="Arial" w:hint="eastAsia"/>
          <w:szCs w:val="21"/>
        </w:rPr>
        <w:t>侧袋账户</w:t>
      </w:r>
      <w:proofErr w:type="gramEnd"/>
      <w:r>
        <w:rPr>
          <w:rFonts w:asciiTheme="minorEastAsia" w:eastAsiaTheme="minorEastAsia" w:hAnsiTheme="minorEastAsia" w:cs="Arial" w:hint="eastAsia"/>
          <w:szCs w:val="21"/>
        </w:rPr>
        <w:t>不进行收益分配，详见招募说明书的规定。</w:t>
      </w:r>
      <w:r>
        <w:rPr>
          <w:rFonts w:asciiTheme="minorEastAsia" w:eastAsiaTheme="minorEastAsia" w:hAnsiTheme="minorEastAsia" w:cs="Arial"/>
          <w:szCs w:val="21"/>
        </w:rPr>
        <w:tab/>
      </w:r>
    </w:p>
    <w:p w14:paraId="20A18726" w14:textId="77777777" w:rsidR="002B077A" w:rsidRDefault="002B077A">
      <w:pPr>
        <w:adjustRightInd w:val="0"/>
        <w:snapToGrid w:val="0"/>
        <w:spacing w:line="360" w:lineRule="auto"/>
        <w:ind w:firstLineChars="200" w:firstLine="420"/>
        <w:rPr>
          <w:rFonts w:asciiTheme="minorEastAsia" w:eastAsiaTheme="minorEastAsia" w:hAnsiTheme="minorEastAsia" w:cs="Arial"/>
          <w:szCs w:val="21"/>
        </w:rPr>
      </w:pPr>
    </w:p>
    <w:p w14:paraId="6FCA8BC7" w14:textId="77777777" w:rsidR="002B077A" w:rsidRDefault="002B077A">
      <w:pPr>
        <w:adjustRightInd w:val="0"/>
        <w:snapToGrid w:val="0"/>
        <w:spacing w:line="360" w:lineRule="auto"/>
        <w:rPr>
          <w:rFonts w:asciiTheme="minorEastAsia" w:eastAsiaTheme="minorEastAsia" w:hAnsiTheme="minorEastAsia" w:cs="Arial"/>
          <w:szCs w:val="21"/>
        </w:rPr>
      </w:pPr>
    </w:p>
    <w:p w14:paraId="48613C5E" w14:textId="77777777" w:rsidR="002B077A" w:rsidRDefault="00DB5093">
      <w:pPr>
        <w:widowControl/>
        <w:spacing w:line="360" w:lineRule="auto"/>
        <w:jc w:val="left"/>
        <w:rPr>
          <w:rFonts w:asciiTheme="minorEastAsia" w:eastAsiaTheme="minorEastAsia" w:hAnsiTheme="minorEastAsia"/>
          <w:b/>
          <w:szCs w:val="21"/>
        </w:rPr>
      </w:pPr>
      <w:r>
        <w:rPr>
          <w:rFonts w:asciiTheme="minorEastAsia" w:eastAsiaTheme="minorEastAsia" w:hAnsiTheme="minorEastAsia"/>
          <w:szCs w:val="21"/>
        </w:rPr>
        <w:br w:type="page"/>
      </w:r>
    </w:p>
    <w:p w14:paraId="5555AB5A"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91" w:name="_Toc520904543"/>
      <w:r>
        <w:rPr>
          <w:rFonts w:asciiTheme="minorEastAsia" w:eastAsiaTheme="minorEastAsia" w:hAnsiTheme="minorEastAsia" w:hint="eastAsia"/>
          <w:sz w:val="21"/>
          <w:szCs w:val="21"/>
        </w:rPr>
        <w:lastRenderedPageBreak/>
        <w:t>十、基金信息披露</w:t>
      </w:r>
      <w:bookmarkEnd w:id="91"/>
    </w:p>
    <w:p w14:paraId="529B874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（一）保密义务</w:t>
      </w:r>
    </w:p>
    <w:p w14:paraId="33A21BC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14:paraId="6D11028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1.非因基金管理人和基金托管人的原因导致保密信息被披露、泄露或公开；</w:t>
      </w:r>
    </w:p>
    <w:p w14:paraId="409ACF5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2.基金管理人和基金托管人为遵守和服从法院判决或裁定、仲裁裁决或中国证监会等监管机构的命令、决定所做出的信息披露或公开。</w:t>
      </w:r>
    </w:p>
    <w:p w14:paraId="0E10C51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（二）信息披露的内容</w:t>
      </w:r>
    </w:p>
    <w:p w14:paraId="3465318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基金的信息披露内容主要包括基金招募说明书、《基金合同》、托管协议、基金份额发售公告、《基金合同》生效公告、基金净值信息、基金份额申购、赎回价格、基金定期报告</w:t>
      </w:r>
      <w:r>
        <w:rPr>
          <w:rFonts w:asciiTheme="minorEastAsia" w:eastAsiaTheme="minorEastAsia" w:hAnsiTheme="minorEastAsia" w:cs="Arial"/>
          <w:szCs w:val="21"/>
        </w:rPr>
        <w:t>（</w:t>
      </w:r>
      <w:r>
        <w:rPr>
          <w:rFonts w:asciiTheme="minorEastAsia" w:eastAsiaTheme="minorEastAsia" w:hAnsiTheme="minorEastAsia" w:cs="Arial" w:hint="eastAsia"/>
          <w:szCs w:val="21"/>
        </w:rPr>
        <w:t>包括基金年度报告、基金中期报告和基金季度报告）、临时报告、澄清公告、基金份额持有人大会决议、基金投资股指期货、国债期货、资产支持证券、港股通标的股票的相关信息、基金产品资料概要、基金清算报告、中国证监会规定的其他信息。基金年度报告中的财务会计报告需</w:t>
      </w:r>
      <w:proofErr w:type="gramStart"/>
      <w:r>
        <w:rPr>
          <w:rFonts w:asciiTheme="minorEastAsia" w:eastAsiaTheme="minorEastAsia" w:hAnsiTheme="minorEastAsia" w:cs="Arial" w:hint="eastAsia"/>
          <w:szCs w:val="21"/>
        </w:rPr>
        <w:t>经符合</w:t>
      </w:r>
      <w:proofErr w:type="gramEnd"/>
      <w:r>
        <w:rPr>
          <w:rFonts w:asciiTheme="minorEastAsia" w:eastAsiaTheme="minorEastAsia" w:hAnsiTheme="minorEastAsia" w:cs="Arial" w:hint="eastAsia"/>
          <w:szCs w:val="21"/>
        </w:rPr>
        <w:t>《中华人民共和国证券法》规定的会计师事务所审计后，方可披露。</w:t>
      </w:r>
    </w:p>
    <w:p w14:paraId="292A212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（三）基金托管人和基金管理人在信息披露中的职责和信息披露程序</w:t>
      </w:r>
    </w:p>
    <w:p w14:paraId="50457F9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1.职责</w:t>
      </w:r>
    </w:p>
    <w:p w14:paraId="153DDD0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14:paraId="0155A02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对于不需要基金托管人复核的信息，基金管理人在公告前应告知基金托管人。</w:t>
      </w:r>
    </w:p>
    <w:p w14:paraId="4CEDB1A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基金管理人和基金托管人应积极配合、互相监督，保证其履行按照法定方式和限时披露的义务。</w:t>
      </w:r>
    </w:p>
    <w:p w14:paraId="55C4A04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基金管理人、基金托管人应当在规定报刊中选择一家披露信息的报刊。基金管理人、基金托管人应当向中国证监会基金电子披露网站报送拟披露的基金信息，并保证相关报送信息的真实、准确、完整、及时。</w:t>
      </w:r>
    </w:p>
    <w:p w14:paraId="7345452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当出现下述情况时，基金管理人和基金托管人可暂停或延迟披露基金相关信息：</w:t>
      </w:r>
    </w:p>
    <w:p w14:paraId="437A5A4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(1)不可抗力；</w:t>
      </w:r>
    </w:p>
    <w:p w14:paraId="47E56A4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(2)发生基金暂停估值的情形；</w:t>
      </w:r>
    </w:p>
    <w:p w14:paraId="472AC02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(3)法律法规、《基金合同》或中国证监会规定的情况。</w:t>
      </w:r>
    </w:p>
    <w:p w14:paraId="4E1B091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2.程序</w:t>
      </w:r>
    </w:p>
    <w:p w14:paraId="7E3783A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按有关规定须经基金托管人复核的信息披露文件，由基金管理人起草、并经基金托管人复</w:t>
      </w:r>
      <w:r>
        <w:rPr>
          <w:rFonts w:asciiTheme="minorEastAsia" w:eastAsiaTheme="minorEastAsia" w:hAnsiTheme="minorEastAsia" w:cs="Arial" w:hint="eastAsia"/>
          <w:szCs w:val="21"/>
        </w:rPr>
        <w:lastRenderedPageBreak/>
        <w:t>核后由基金管理人公告。发生《基金合同》中规定需要披露的事项时，按《基金合同》规定公布。</w:t>
      </w:r>
    </w:p>
    <w:p w14:paraId="32C36E0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3.信息文本的存放</w:t>
      </w:r>
    </w:p>
    <w:p w14:paraId="0E609E7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依法必须披露的信息发布后，基金管理人、基金托管人应当按照相关法律法规规定将信息置备于各自住所，供社会公众查阅、复制。投资者可以免费查阅，在支付工本费后可在合理时间获得上述文件的复制件或复印件。基金管理人和基金托管人应保证文本的内容与所公告的内容完全一致。</w:t>
      </w:r>
    </w:p>
    <w:p w14:paraId="2BAD181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（四）实施</w:t>
      </w:r>
      <w:proofErr w:type="gramStart"/>
      <w:r>
        <w:rPr>
          <w:rFonts w:asciiTheme="minorEastAsia" w:eastAsiaTheme="minorEastAsia" w:hAnsiTheme="minorEastAsia" w:cs="Arial" w:hint="eastAsia"/>
          <w:szCs w:val="21"/>
        </w:rPr>
        <w:t>侧袋机制</w:t>
      </w:r>
      <w:proofErr w:type="gramEnd"/>
      <w:r>
        <w:rPr>
          <w:rFonts w:asciiTheme="minorEastAsia" w:eastAsiaTheme="minorEastAsia" w:hAnsiTheme="minorEastAsia" w:cs="Arial" w:hint="eastAsia"/>
          <w:szCs w:val="21"/>
        </w:rPr>
        <w:t>期间的信息披露</w:t>
      </w:r>
    </w:p>
    <w:p w14:paraId="2A82462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本基金实施</w:t>
      </w:r>
      <w:proofErr w:type="gramStart"/>
      <w:r>
        <w:rPr>
          <w:rFonts w:asciiTheme="minorEastAsia" w:eastAsiaTheme="minorEastAsia" w:hAnsiTheme="minorEastAsia" w:cs="Arial" w:hint="eastAsia"/>
          <w:szCs w:val="21"/>
        </w:rPr>
        <w:t>侧袋机制</w:t>
      </w:r>
      <w:proofErr w:type="gramEnd"/>
      <w:r>
        <w:rPr>
          <w:rFonts w:asciiTheme="minorEastAsia" w:eastAsiaTheme="minorEastAsia" w:hAnsiTheme="minorEastAsia" w:cs="Arial" w:hint="eastAsia"/>
          <w:szCs w:val="21"/>
        </w:rPr>
        <w:t>的，相关信息披露义务人应当根据法律法规、基金合同和招募说明书的规定进行信息披露，详见招募说明书的规定。</w:t>
      </w:r>
    </w:p>
    <w:p w14:paraId="62C95207" w14:textId="77777777" w:rsidR="002B077A" w:rsidRPr="00FB17F4" w:rsidRDefault="00DB5093" w:rsidP="00FB17F4">
      <w:pPr>
        <w:adjustRightInd w:val="0"/>
        <w:snapToGrid w:val="0"/>
        <w:spacing w:line="360" w:lineRule="auto"/>
        <w:ind w:firstLineChars="200" w:firstLine="420"/>
        <w:rPr>
          <w:rFonts w:asciiTheme="minorEastAsia" w:eastAsiaTheme="minorEastAsia" w:hAnsiTheme="minorEastAsia" w:cs="Arial"/>
          <w:szCs w:val="21"/>
        </w:rPr>
      </w:pPr>
      <w:r w:rsidRPr="00FB17F4">
        <w:rPr>
          <w:rFonts w:asciiTheme="minorEastAsia" w:eastAsiaTheme="minorEastAsia" w:hAnsiTheme="minorEastAsia" w:cs="Arial" w:hint="eastAsia"/>
          <w:szCs w:val="21"/>
        </w:rPr>
        <w:t>（五）法律法规或监管部门对适用于本基金的信息披露另有规定的，从其规定。如规定发生变化的，从其最新规定。</w:t>
      </w:r>
    </w:p>
    <w:p w14:paraId="61881302" w14:textId="77777777" w:rsidR="002B077A" w:rsidRDefault="002B077A">
      <w:pPr>
        <w:adjustRightInd w:val="0"/>
        <w:snapToGrid w:val="0"/>
        <w:spacing w:line="360" w:lineRule="auto"/>
        <w:ind w:firstLineChars="200" w:firstLine="420"/>
        <w:rPr>
          <w:rFonts w:asciiTheme="minorEastAsia" w:eastAsiaTheme="minorEastAsia" w:hAnsiTheme="minorEastAsia" w:cs="Arial"/>
          <w:szCs w:val="21"/>
        </w:rPr>
      </w:pPr>
    </w:p>
    <w:p w14:paraId="3C4E2E3C" w14:textId="77777777" w:rsidR="002B077A" w:rsidRDefault="00DB5093">
      <w:pPr>
        <w:widowControl/>
        <w:spacing w:line="360" w:lineRule="auto"/>
        <w:jc w:val="left"/>
        <w:rPr>
          <w:rFonts w:asciiTheme="minorEastAsia" w:eastAsiaTheme="minorEastAsia" w:hAnsiTheme="minorEastAsia"/>
          <w:b/>
          <w:szCs w:val="21"/>
        </w:rPr>
      </w:pPr>
      <w:r>
        <w:rPr>
          <w:rFonts w:asciiTheme="minorEastAsia" w:eastAsiaTheme="minorEastAsia" w:hAnsiTheme="minorEastAsia"/>
          <w:szCs w:val="21"/>
        </w:rPr>
        <w:br w:type="page"/>
      </w:r>
    </w:p>
    <w:p w14:paraId="1E508CF7"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92" w:name="_Toc520904544"/>
      <w:r>
        <w:rPr>
          <w:rFonts w:asciiTheme="minorEastAsia" w:eastAsiaTheme="minorEastAsia" w:hAnsiTheme="minorEastAsia" w:hint="eastAsia"/>
          <w:sz w:val="21"/>
          <w:szCs w:val="21"/>
        </w:rPr>
        <w:lastRenderedPageBreak/>
        <w:t>十一、基金费用</w:t>
      </w:r>
      <w:bookmarkEnd w:id="92"/>
    </w:p>
    <w:p w14:paraId="133C990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（一）基金管理费的计提比例和计提方法</w:t>
      </w:r>
    </w:p>
    <w:p w14:paraId="16C85FD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本基金的管理费按前一日基金资产净值的1.</w:t>
      </w:r>
      <w:r>
        <w:rPr>
          <w:rFonts w:asciiTheme="minorEastAsia" w:eastAsiaTheme="minorEastAsia" w:hAnsiTheme="minorEastAsia" w:cs="Arial"/>
          <w:szCs w:val="21"/>
        </w:rPr>
        <w:t>2</w:t>
      </w:r>
      <w:r>
        <w:rPr>
          <w:rFonts w:asciiTheme="minorEastAsia" w:eastAsiaTheme="minorEastAsia" w:hAnsiTheme="minorEastAsia" w:cs="Arial" w:hint="eastAsia"/>
          <w:szCs w:val="21"/>
        </w:rPr>
        <w:t>0%年费率计提。管理费的计算方法如下：</w:t>
      </w:r>
    </w:p>
    <w:p w14:paraId="201185F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H＝E×1.</w:t>
      </w:r>
      <w:r>
        <w:rPr>
          <w:rFonts w:asciiTheme="minorEastAsia" w:eastAsiaTheme="minorEastAsia" w:hAnsiTheme="minorEastAsia" w:cs="Arial"/>
          <w:szCs w:val="21"/>
        </w:rPr>
        <w:t>2</w:t>
      </w:r>
      <w:r>
        <w:rPr>
          <w:rFonts w:asciiTheme="minorEastAsia" w:eastAsiaTheme="minorEastAsia" w:hAnsiTheme="minorEastAsia" w:cs="Arial" w:hint="eastAsia"/>
          <w:szCs w:val="21"/>
        </w:rPr>
        <w:t>0%÷当年天数</w:t>
      </w:r>
    </w:p>
    <w:p w14:paraId="5B4CF37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H为每日应计提的基金管理费</w:t>
      </w:r>
    </w:p>
    <w:p w14:paraId="32246EC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E为前一日的基金资产净值</w:t>
      </w:r>
    </w:p>
    <w:p w14:paraId="3AB98BC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（二）基金托管费的计提比例和计提方法</w:t>
      </w:r>
    </w:p>
    <w:p w14:paraId="7B34047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本基金的托管费按前一日基金资产净值的0.2</w:t>
      </w:r>
      <w:r>
        <w:rPr>
          <w:rFonts w:asciiTheme="minorEastAsia" w:eastAsiaTheme="minorEastAsia" w:hAnsiTheme="minorEastAsia" w:cs="Arial"/>
          <w:szCs w:val="21"/>
        </w:rPr>
        <w:t>0</w:t>
      </w:r>
      <w:r>
        <w:rPr>
          <w:rFonts w:asciiTheme="minorEastAsia" w:eastAsiaTheme="minorEastAsia" w:hAnsiTheme="minorEastAsia" w:cs="Arial" w:hint="eastAsia"/>
          <w:szCs w:val="21"/>
        </w:rPr>
        <w:t>%年费率计提。托管费的计算方法如下：</w:t>
      </w:r>
    </w:p>
    <w:p w14:paraId="159C4BC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H＝E×0.2</w:t>
      </w:r>
      <w:r>
        <w:rPr>
          <w:rFonts w:asciiTheme="minorEastAsia" w:eastAsiaTheme="minorEastAsia" w:hAnsiTheme="minorEastAsia" w:cs="Arial"/>
          <w:szCs w:val="21"/>
        </w:rPr>
        <w:t>0</w:t>
      </w:r>
      <w:r>
        <w:rPr>
          <w:rFonts w:asciiTheme="minorEastAsia" w:eastAsiaTheme="minorEastAsia" w:hAnsiTheme="minorEastAsia" w:cs="Arial" w:hint="eastAsia"/>
          <w:szCs w:val="21"/>
        </w:rPr>
        <w:t>%÷当年天数</w:t>
      </w:r>
    </w:p>
    <w:p w14:paraId="2813152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H为每日应计提的基金托管费</w:t>
      </w:r>
    </w:p>
    <w:p w14:paraId="7F1EBA6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E为前一日的基金资产净值</w:t>
      </w:r>
    </w:p>
    <w:p w14:paraId="58E0ECD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（三）C类基金份额的销售服务费</w:t>
      </w:r>
    </w:p>
    <w:p w14:paraId="47EAA03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本基金A类基金份额不收取销售服务费，C类基金份额的销售服务费按前一日C类基金份额的资产净值的0.40%年费率计提。C类基金份额的销售服务费的计算方法如下：</w:t>
      </w:r>
    </w:p>
    <w:p w14:paraId="0F121D7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H＝E×0</w:t>
      </w:r>
      <w:r>
        <w:rPr>
          <w:rFonts w:asciiTheme="minorEastAsia" w:eastAsiaTheme="minorEastAsia" w:hAnsiTheme="minorEastAsia" w:cs="Arial"/>
          <w:szCs w:val="21"/>
        </w:rPr>
        <w:t>.40</w:t>
      </w:r>
      <w:r>
        <w:rPr>
          <w:rFonts w:asciiTheme="minorEastAsia" w:eastAsiaTheme="minorEastAsia" w:hAnsiTheme="minorEastAsia" w:cs="Arial" w:hint="eastAsia"/>
          <w:szCs w:val="21"/>
        </w:rPr>
        <w:t>%÷当年天数</w:t>
      </w:r>
    </w:p>
    <w:p w14:paraId="4501989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H为C类基金份额每日应计提的基金销售服务费</w:t>
      </w:r>
    </w:p>
    <w:p w14:paraId="694735A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E为C类基金份额前一日的基金资产净值</w:t>
      </w:r>
    </w:p>
    <w:p w14:paraId="6BE1A02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基金销售服务费主要用于支付销售机构佣金以及基金管理人的基金行销广告费、促销活动费、基金份额持有人服务费等。</w:t>
      </w:r>
    </w:p>
    <w:p w14:paraId="49CAE91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基金销售服务费不包括基金募集期间的上述费用。</w:t>
      </w:r>
    </w:p>
    <w:p w14:paraId="085DE6AA" w14:textId="0AF5F52A"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（四）基金的开户费用、证券</w:t>
      </w:r>
      <w:r>
        <w:rPr>
          <w:rFonts w:asciiTheme="minorEastAsia" w:eastAsiaTheme="minorEastAsia" w:hAnsiTheme="minorEastAsia" w:cs="Arial"/>
          <w:szCs w:val="21"/>
        </w:rPr>
        <w:t>/</w:t>
      </w:r>
      <w:r>
        <w:rPr>
          <w:rFonts w:asciiTheme="minorEastAsia" w:eastAsiaTheme="minorEastAsia" w:hAnsiTheme="minorEastAsia" w:cs="Arial" w:hint="eastAsia"/>
          <w:szCs w:val="21"/>
        </w:rPr>
        <w:t>期货交易费用、基金的银行汇划费用、账户维护费、因投资港股通标的股票而产生的各项费用、《基金合同》生效后与基金相关的信息披露费用、基金份额持有人大会费用、《基金合同》生效后与基金有关的会计师费、律师费、仲裁费和诉讼费等根据有关法律法规、《基金合同》及相应协议的规定，列入当期基金费用。</w:t>
      </w:r>
    </w:p>
    <w:p w14:paraId="1566B52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（五）不列入基金费用的项目</w:t>
      </w:r>
    </w:p>
    <w:p w14:paraId="2040E8F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合同》生效前的相关费用不得从基金财产中列支；基金管理人和基金托管人因未履行或未完全履行义务导致的费用支出或基金财产的损失，处理与基金运作无关的事项发生的费用以及其他根据相关法律法规及中国证监会的有关规定不得列入基金费用的项目等不列入基金费用。</w:t>
      </w:r>
    </w:p>
    <w:p w14:paraId="753559D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（六）基金管理费、基金托管费和销售服务费的复核程序、支付方式和时间</w:t>
      </w:r>
    </w:p>
    <w:p w14:paraId="1AC4635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1.复核程序</w:t>
      </w:r>
    </w:p>
    <w:p w14:paraId="7B2429D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基金托管人对基金管理人计提的基金管理费、基金托管费和销售服务费等，根据本托管协议和《基金合同》的有关规定进行复核。</w:t>
      </w:r>
    </w:p>
    <w:p w14:paraId="3567100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2.支付方式和时间</w:t>
      </w:r>
    </w:p>
    <w:p w14:paraId="4DDDAEA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lastRenderedPageBreak/>
        <w:t>基金管理费、基金托管费每日</w:t>
      </w:r>
      <w:bookmarkStart w:id="93" w:name="_Hlk119251417"/>
      <w:r>
        <w:rPr>
          <w:rFonts w:asciiTheme="minorEastAsia" w:eastAsiaTheme="minorEastAsia" w:hAnsiTheme="minorEastAsia" w:cs="Arial" w:hint="eastAsia"/>
          <w:szCs w:val="21"/>
        </w:rPr>
        <w:t>计提，逐日累计至每月月末，按月支付。由基金托管人根据与基金管理人核对一致的财务数据，在月初5</w:t>
      </w:r>
      <w:proofErr w:type="gramStart"/>
      <w:r>
        <w:rPr>
          <w:rFonts w:asciiTheme="minorEastAsia" w:eastAsiaTheme="minorEastAsia" w:hAnsiTheme="minorEastAsia" w:cs="Arial" w:hint="eastAsia"/>
          <w:szCs w:val="21"/>
        </w:rPr>
        <w:t>个</w:t>
      </w:r>
      <w:proofErr w:type="gramEnd"/>
      <w:r>
        <w:rPr>
          <w:rFonts w:asciiTheme="minorEastAsia" w:eastAsiaTheme="minorEastAsia" w:hAnsiTheme="minorEastAsia" w:cs="Arial" w:hint="eastAsia"/>
          <w:szCs w:val="21"/>
        </w:rPr>
        <w:t>工作日内、按照指定的账户路径进行资金支付，基金管理人无需再出具资金划拨指令。若遇法定节假日、公休日等，支付日期顺延。费用自动扣划后，基金管理人应进行核对，如发现数据不符，及时联系基金托管人协商解决</w:t>
      </w:r>
      <w:bookmarkEnd w:id="93"/>
      <w:r>
        <w:rPr>
          <w:rFonts w:asciiTheme="minorEastAsia" w:eastAsiaTheme="minorEastAsia" w:hAnsiTheme="minorEastAsia" w:cs="Arial" w:hint="eastAsia"/>
          <w:szCs w:val="21"/>
        </w:rPr>
        <w:t>。</w:t>
      </w:r>
    </w:p>
    <w:p w14:paraId="4C81668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bookmarkStart w:id="94" w:name="_Hlk129119825"/>
      <w:r>
        <w:rPr>
          <w:rFonts w:ascii="宋体" w:hAnsi="宋体" w:cs="Arial" w:hint="eastAsia"/>
          <w:szCs w:val="21"/>
        </w:rPr>
        <w:t>基金销售服务费每日计提，逐日累计至每月月末，按月支付。由基金托管人根据与基金管理人核对一致的财务数据，在月初5</w:t>
      </w:r>
      <w:proofErr w:type="gramStart"/>
      <w:r>
        <w:rPr>
          <w:rFonts w:ascii="宋体" w:hAnsi="宋体" w:cs="Arial" w:hint="eastAsia"/>
          <w:szCs w:val="21"/>
        </w:rPr>
        <w:t>个</w:t>
      </w:r>
      <w:proofErr w:type="gramEnd"/>
      <w:r>
        <w:rPr>
          <w:rFonts w:ascii="宋体" w:hAnsi="宋体" w:cs="Arial" w:hint="eastAsia"/>
          <w:szCs w:val="21"/>
        </w:rPr>
        <w:t>工作日内、按照指定的账户路径从基金财产中一次性支付给基金管理人，由基金管理人代付给销售机构，基金管理人无需再出具资金划拨指令。若遇法定节假日、公休日等，支付日期顺延。费用自动扣划后，基金管理人应进行核对，如发现数据不符，及时联系基金托管人协商解决。</w:t>
      </w:r>
    </w:p>
    <w:bookmarkEnd w:id="94"/>
    <w:p w14:paraId="1B461AB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在首期支付基金管理费、基金销售服务费前，基金管理人应向基金托管人出具正式函件指定基金管理费、基金销售服务费的收款账户。基金管理人如需要</w:t>
      </w:r>
      <w:proofErr w:type="gramStart"/>
      <w:r>
        <w:rPr>
          <w:rFonts w:asciiTheme="minorEastAsia" w:eastAsiaTheme="minorEastAsia" w:hAnsiTheme="minorEastAsia" w:cs="Arial" w:hint="eastAsia"/>
          <w:szCs w:val="21"/>
        </w:rPr>
        <w:t>变更此</w:t>
      </w:r>
      <w:proofErr w:type="gramEnd"/>
      <w:r>
        <w:rPr>
          <w:rFonts w:asciiTheme="minorEastAsia" w:eastAsiaTheme="minorEastAsia" w:hAnsiTheme="minorEastAsia" w:cs="Arial" w:hint="eastAsia"/>
          <w:szCs w:val="21"/>
        </w:rPr>
        <w:t>账户，应提前5个工作日向基金托管人出具书面的收款账户变更通知。</w:t>
      </w:r>
    </w:p>
    <w:p w14:paraId="6B7A91C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（七）违规处理方式</w:t>
      </w:r>
    </w:p>
    <w:p w14:paraId="58374FD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托管人发现基金管理人违反《基金法》、《基金合同》、《运作办法》及其他有关规定从基金财产中列支费用时，基金托管人可要求基金管理人予以说明解释，如基金管理人无正当理由，基金托管人可拒绝支付。</w:t>
      </w:r>
    </w:p>
    <w:p w14:paraId="5CFECF2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（八）实施</w:t>
      </w:r>
      <w:proofErr w:type="gramStart"/>
      <w:r>
        <w:rPr>
          <w:rFonts w:asciiTheme="minorEastAsia" w:eastAsiaTheme="minorEastAsia" w:hAnsiTheme="minorEastAsia" w:cs="Arial" w:hint="eastAsia"/>
          <w:szCs w:val="21"/>
        </w:rPr>
        <w:t>侧袋机制</w:t>
      </w:r>
      <w:proofErr w:type="gramEnd"/>
      <w:r>
        <w:rPr>
          <w:rFonts w:asciiTheme="minorEastAsia" w:eastAsiaTheme="minorEastAsia" w:hAnsiTheme="minorEastAsia" w:cs="Arial" w:hint="eastAsia"/>
          <w:szCs w:val="21"/>
        </w:rPr>
        <w:t>期间的基金费用</w:t>
      </w:r>
    </w:p>
    <w:p w14:paraId="365D380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本基金实施</w:t>
      </w:r>
      <w:proofErr w:type="gramStart"/>
      <w:r>
        <w:rPr>
          <w:rFonts w:asciiTheme="minorEastAsia" w:eastAsiaTheme="minorEastAsia" w:hAnsiTheme="minorEastAsia" w:cs="Arial" w:hint="eastAsia"/>
          <w:szCs w:val="21"/>
        </w:rPr>
        <w:t>侧袋机制</w:t>
      </w:r>
      <w:proofErr w:type="gramEnd"/>
      <w:r>
        <w:rPr>
          <w:rFonts w:asciiTheme="minorEastAsia" w:eastAsiaTheme="minorEastAsia" w:hAnsiTheme="minorEastAsia" w:cs="Arial" w:hint="eastAsia"/>
          <w:szCs w:val="21"/>
        </w:rPr>
        <w:t>的，</w:t>
      </w:r>
      <w:proofErr w:type="gramStart"/>
      <w:r>
        <w:rPr>
          <w:rFonts w:asciiTheme="minorEastAsia" w:eastAsiaTheme="minorEastAsia" w:hAnsiTheme="minorEastAsia" w:cs="Arial" w:hint="eastAsia"/>
          <w:szCs w:val="21"/>
        </w:rPr>
        <w:t>与侧袋账户</w:t>
      </w:r>
      <w:proofErr w:type="gramEnd"/>
      <w:r>
        <w:rPr>
          <w:rFonts w:asciiTheme="minorEastAsia" w:eastAsiaTheme="minorEastAsia" w:hAnsiTheme="minorEastAsia" w:cs="Arial" w:hint="eastAsia"/>
          <w:szCs w:val="21"/>
        </w:rPr>
        <w:t>有关的费用可以</w:t>
      </w:r>
      <w:proofErr w:type="gramStart"/>
      <w:r>
        <w:rPr>
          <w:rFonts w:asciiTheme="minorEastAsia" w:eastAsiaTheme="minorEastAsia" w:hAnsiTheme="minorEastAsia" w:cs="Arial" w:hint="eastAsia"/>
          <w:szCs w:val="21"/>
        </w:rPr>
        <w:t>从侧袋账户</w:t>
      </w:r>
      <w:proofErr w:type="gramEnd"/>
      <w:r>
        <w:rPr>
          <w:rFonts w:asciiTheme="minorEastAsia" w:eastAsiaTheme="minorEastAsia" w:hAnsiTheme="minorEastAsia" w:cs="Arial" w:hint="eastAsia"/>
          <w:szCs w:val="21"/>
        </w:rPr>
        <w:t>中列支，但应</w:t>
      </w:r>
      <w:proofErr w:type="gramStart"/>
      <w:r>
        <w:rPr>
          <w:rFonts w:asciiTheme="minorEastAsia" w:eastAsiaTheme="minorEastAsia" w:hAnsiTheme="minorEastAsia" w:cs="Arial" w:hint="eastAsia"/>
          <w:szCs w:val="21"/>
        </w:rPr>
        <w:t>待侧袋</w:t>
      </w:r>
      <w:proofErr w:type="gramEnd"/>
      <w:r>
        <w:rPr>
          <w:rFonts w:asciiTheme="minorEastAsia" w:eastAsiaTheme="minorEastAsia" w:hAnsiTheme="minorEastAsia" w:cs="Arial" w:hint="eastAsia"/>
          <w:szCs w:val="21"/>
        </w:rPr>
        <w:t>账户资产变现后方可列支，有关费用可酌情收取或减免，但不得收取管理费，详见招募说明书的规定。</w:t>
      </w:r>
    </w:p>
    <w:p w14:paraId="313A1A03" w14:textId="77777777" w:rsidR="002B077A" w:rsidRDefault="002B077A">
      <w:pPr>
        <w:adjustRightInd w:val="0"/>
        <w:snapToGrid w:val="0"/>
        <w:spacing w:line="360" w:lineRule="auto"/>
        <w:ind w:firstLineChars="200" w:firstLine="420"/>
        <w:rPr>
          <w:rFonts w:asciiTheme="minorEastAsia" w:eastAsiaTheme="minorEastAsia" w:hAnsiTheme="minorEastAsia" w:cs="Arial"/>
          <w:szCs w:val="21"/>
        </w:rPr>
      </w:pPr>
    </w:p>
    <w:p w14:paraId="1D04BFE8" w14:textId="77777777" w:rsidR="002B077A" w:rsidRDefault="00DB5093">
      <w:pPr>
        <w:widowControl/>
        <w:spacing w:line="360" w:lineRule="auto"/>
        <w:jc w:val="left"/>
        <w:rPr>
          <w:rFonts w:asciiTheme="minorEastAsia" w:eastAsiaTheme="minorEastAsia" w:hAnsiTheme="minorEastAsia"/>
          <w:b/>
          <w:szCs w:val="21"/>
        </w:rPr>
      </w:pPr>
      <w:r>
        <w:rPr>
          <w:rFonts w:asciiTheme="minorEastAsia" w:eastAsiaTheme="minorEastAsia" w:hAnsiTheme="minorEastAsia"/>
          <w:szCs w:val="21"/>
        </w:rPr>
        <w:br w:type="page"/>
      </w:r>
    </w:p>
    <w:p w14:paraId="5A42E073"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95" w:name="_Toc520904545"/>
      <w:r>
        <w:rPr>
          <w:rFonts w:asciiTheme="minorEastAsia" w:eastAsiaTheme="minorEastAsia" w:hAnsiTheme="minorEastAsia" w:hint="eastAsia"/>
          <w:sz w:val="21"/>
          <w:szCs w:val="21"/>
        </w:rPr>
        <w:lastRenderedPageBreak/>
        <w:t>十二、基金份额持有人名册的保管</w:t>
      </w:r>
      <w:bookmarkEnd w:id="95"/>
    </w:p>
    <w:p w14:paraId="52A98C5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份额持有人名册至少应包括基金份额持有人的名称和持有的基金份额。基金份额持有人名册由基金登记机构根据基金管理人的指令编制和保管。基金管理人和基金托管人应分别保管基金份额持有人名册，保存期不少于法律法规规定的最低期限。如不能妥善保管，则按相关法规承担责任。</w:t>
      </w:r>
    </w:p>
    <w:p w14:paraId="4D78F8E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在基金托管人要求或编制中期报告和年报前，基金管理人应将有关资料送交基金托管人，不得无故拒绝或延误提供，并保证其真实性、准确性和完整性。基金托管人不得将所保管的基金份额持有人名册用于基金托管业务以外的其他用途，并应遵守保密义务。</w:t>
      </w:r>
    </w:p>
    <w:p w14:paraId="34F0E0CD" w14:textId="77777777" w:rsidR="002B077A" w:rsidRDefault="002B077A">
      <w:pPr>
        <w:adjustRightInd w:val="0"/>
        <w:snapToGrid w:val="0"/>
        <w:spacing w:line="360" w:lineRule="auto"/>
        <w:rPr>
          <w:rFonts w:asciiTheme="minorEastAsia" w:eastAsiaTheme="minorEastAsia" w:hAnsiTheme="minorEastAsia" w:cs="Arial"/>
          <w:szCs w:val="21"/>
        </w:rPr>
      </w:pPr>
    </w:p>
    <w:p w14:paraId="17ECE521" w14:textId="77777777" w:rsidR="002B077A" w:rsidRDefault="00DB5093">
      <w:pPr>
        <w:widowControl/>
        <w:spacing w:line="360" w:lineRule="auto"/>
        <w:jc w:val="left"/>
        <w:rPr>
          <w:rFonts w:asciiTheme="minorEastAsia" w:eastAsiaTheme="minorEastAsia" w:hAnsiTheme="minorEastAsia"/>
          <w:b/>
          <w:szCs w:val="21"/>
        </w:rPr>
      </w:pPr>
      <w:r>
        <w:rPr>
          <w:rFonts w:asciiTheme="minorEastAsia" w:eastAsiaTheme="minorEastAsia" w:hAnsiTheme="minorEastAsia"/>
          <w:szCs w:val="21"/>
        </w:rPr>
        <w:br w:type="page"/>
      </w:r>
    </w:p>
    <w:p w14:paraId="761ECF7E"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96" w:name="_Toc520904546"/>
      <w:r>
        <w:rPr>
          <w:rFonts w:asciiTheme="minorEastAsia" w:eastAsiaTheme="minorEastAsia" w:hAnsiTheme="minorEastAsia" w:hint="eastAsia"/>
          <w:sz w:val="21"/>
          <w:szCs w:val="21"/>
        </w:rPr>
        <w:lastRenderedPageBreak/>
        <w:t>十三、基金有关文件档案的保存</w:t>
      </w:r>
      <w:bookmarkEnd w:id="96"/>
    </w:p>
    <w:p w14:paraId="170B10E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（一）档案保存</w:t>
      </w:r>
    </w:p>
    <w:p w14:paraId="1E95538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法律法规规定的最低期限。</w:t>
      </w:r>
    </w:p>
    <w:p w14:paraId="61B320F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（二）合同档案的建立</w:t>
      </w:r>
    </w:p>
    <w:p w14:paraId="3003736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1.基金管理人签署重大合同文本后，应及时将合同文本正本送达基金托管人处。</w:t>
      </w:r>
    </w:p>
    <w:p w14:paraId="0F6FE71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2.基金管理人应及时将与本基金账务处理、资金划拨等有关的合同、协议传真基金托管人。</w:t>
      </w:r>
    </w:p>
    <w:p w14:paraId="5300B2D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（三）变更与协助</w:t>
      </w:r>
    </w:p>
    <w:p w14:paraId="5CDAEF3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proofErr w:type="gramStart"/>
      <w:r>
        <w:rPr>
          <w:rFonts w:asciiTheme="minorEastAsia" w:eastAsiaTheme="minorEastAsia" w:hAnsiTheme="minorEastAsia" w:cs="Arial" w:hint="eastAsia"/>
          <w:szCs w:val="21"/>
        </w:rPr>
        <w:t>若基金</w:t>
      </w:r>
      <w:proofErr w:type="gramEnd"/>
      <w:r>
        <w:rPr>
          <w:rFonts w:asciiTheme="minorEastAsia" w:eastAsiaTheme="minorEastAsia" w:hAnsiTheme="minorEastAsia" w:cs="Arial" w:hint="eastAsia"/>
          <w:szCs w:val="21"/>
        </w:rPr>
        <w:t>管理人/基金托管人发生变更，未变更的一方有义务协助变更后的接任人接收相应文件。</w:t>
      </w:r>
    </w:p>
    <w:p w14:paraId="5618523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（四）基金管理人和基金托管人应按各自职责完整保存原始凭证、记账凭证、基金账册、交易记录和重要合同等，承担保密义务并保存不少于法律法规规定的最低期限。</w:t>
      </w:r>
    </w:p>
    <w:p w14:paraId="7E17197D" w14:textId="77777777" w:rsidR="002B077A" w:rsidRDefault="002B077A">
      <w:pPr>
        <w:adjustRightInd w:val="0"/>
        <w:snapToGrid w:val="0"/>
        <w:spacing w:line="360" w:lineRule="auto"/>
        <w:rPr>
          <w:rFonts w:asciiTheme="minorEastAsia" w:eastAsiaTheme="minorEastAsia" w:hAnsiTheme="minorEastAsia"/>
          <w:szCs w:val="21"/>
        </w:rPr>
      </w:pPr>
    </w:p>
    <w:p w14:paraId="5739C6DF" w14:textId="77777777" w:rsidR="002B077A" w:rsidRDefault="00DB5093">
      <w:pPr>
        <w:widowControl/>
        <w:spacing w:line="360" w:lineRule="auto"/>
        <w:jc w:val="left"/>
        <w:rPr>
          <w:rFonts w:asciiTheme="minorEastAsia" w:eastAsiaTheme="minorEastAsia" w:hAnsiTheme="minorEastAsia"/>
          <w:b/>
          <w:szCs w:val="21"/>
        </w:rPr>
      </w:pPr>
      <w:r>
        <w:rPr>
          <w:rFonts w:asciiTheme="minorEastAsia" w:eastAsiaTheme="minorEastAsia" w:hAnsiTheme="minorEastAsia"/>
          <w:szCs w:val="21"/>
        </w:rPr>
        <w:br w:type="page"/>
      </w:r>
    </w:p>
    <w:p w14:paraId="5E8F3998"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97" w:name="_Toc520904547"/>
      <w:r>
        <w:rPr>
          <w:rFonts w:asciiTheme="minorEastAsia" w:eastAsiaTheme="minorEastAsia" w:hAnsiTheme="minorEastAsia" w:hint="eastAsia"/>
          <w:sz w:val="21"/>
          <w:szCs w:val="21"/>
        </w:rPr>
        <w:lastRenderedPageBreak/>
        <w:t>十四、基金管理人和基金托管人的更换</w:t>
      </w:r>
      <w:bookmarkEnd w:id="97"/>
    </w:p>
    <w:p w14:paraId="37A15B3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（一）基金管理人职责终止的情形</w:t>
      </w:r>
    </w:p>
    <w:p w14:paraId="4435A63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1.基金管理人职责终止的情形</w:t>
      </w:r>
    </w:p>
    <w:p w14:paraId="5935BC1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有下列情形之一的，基金管理人职责终止：</w:t>
      </w:r>
    </w:p>
    <w:p w14:paraId="7D7E3FE1"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(1)被依法取消基金管理资格；</w:t>
      </w:r>
    </w:p>
    <w:p w14:paraId="6F65A66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(2)依法解散、被依法撤销或被依法宣告破产；</w:t>
      </w:r>
    </w:p>
    <w:p w14:paraId="29ADAD7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(3)被基金份额持有人大会解任；</w:t>
      </w:r>
    </w:p>
    <w:p w14:paraId="06E36A7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(4)法律法规及中国证监会规定的和《基金合同》约定的其他情形。</w:t>
      </w:r>
    </w:p>
    <w:p w14:paraId="5D77593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2.基金管理人的更换程序</w:t>
      </w:r>
    </w:p>
    <w:p w14:paraId="46A5E5C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更换基金管理人必须依照如下程序进行：</w:t>
      </w:r>
    </w:p>
    <w:p w14:paraId="656DAF01"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(1)提名：临时基金管理人应向基金托管人</w:t>
      </w:r>
      <w:r>
        <w:rPr>
          <w:rFonts w:asciiTheme="minorEastAsia" w:eastAsiaTheme="minorEastAsia" w:hAnsiTheme="minorEastAsia" w:hint="eastAsia"/>
        </w:rPr>
        <w:t>、</w:t>
      </w:r>
      <w:r>
        <w:rPr>
          <w:rFonts w:asciiTheme="minorEastAsia" w:eastAsiaTheme="minorEastAsia" w:hAnsiTheme="minorEastAsia" w:cs="Arial" w:hint="eastAsia"/>
          <w:szCs w:val="21"/>
        </w:rPr>
        <w:t>单独或合计持有10%以上(含10%)基金份额的基金份额持有人征集</w:t>
      </w:r>
      <w:proofErr w:type="gramStart"/>
      <w:r>
        <w:rPr>
          <w:rFonts w:asciiTheme="minorEastAsia" w:eastAsiaTheme="minorEastAsia" w:hAnsiTheme="minorEastAsia" w:cs="Arial" w:hint="eastAsia"/>
          <w:szCs w:val="21"/>
        </w:rPr>
        <w:t>新任基金</w:t>
      </w:r>
      <w:proofErr w:type="gramEnd"/>
      <w:r>
        <w:rPr>
          <w:rFonts w:asciiTheme="minorEastAsia" w:eastAsiaTheme="minorEastAsia" w:hAnsiTheme="minorEastAsia" w:cs="Arial" w:hint="eastAsia"/>
          <w:szCs w:val="21"/>
        </w:rPr>
        <w:t>管理人提名人选。</w:t>
      </w:r>
      <w:proofErr w:type="gramStart"/>
      <w:r>
        <w:rPr>
          <w:rFonts w:asciiTheme="minorEastAsia" w:eastAsiaTheme="minorEastAsia" w:hAnsiTheme="minorEastAsia" w:cs="Arial" w:hint="eastAsia"/>
          <w:szCs w:val="21"/>
        </w:rPr>
        <w:t>新任基金</w:t>
      </w:r>
      <w:proofErr w:type="gramEnd"/>
      <w:r>
        <w:rPr>
          <w:rFonts w:asciiTheme="minorEastAsia" w:eastAsiaTheme="minorEastAsia" w:hAnsiTheme="minorEastAsia" w:cs="Arial" w:hint="eastAsia"/>
          <w:szCs w:val="21"/>
        </w:rPr>
        <w:t>管理人提名人选由临时基金管理人及基金托管人、单独或合计持有10%以上（含10%）基金份额的基金份额持有人提名的人选构成；</w:t>
      </w:r>
    </w:p>
    <w:p w14:paraId="3BDFA8C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决议：基金份额持有人大会在基金管理人职责终止后6个月内对被提名的基金管理人形成决议，该决议需经参加基金份额持有人大会的基金份额持有人所持表决权的三分之二以上(含三分之二)表决通过，决议自表决通过之日起生效；</w:t>
      </w:r>
    </w:p>
    <w:p w14:paraId="0E5ADE5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(3)临时基金管理人：</w:t>
      </w:r>
      <w:proofErr w:type="gramStart"/>
      <w:r>
        <w:rPr>
          <w:rFonts w:asciiTheme="minorEastAsia" w:eastAsiaTheme="minorEastAsia" w:hAnsiTheme="minorEastAsia" w:cs="Arial" w:hint="eastAsia"/>
          <w:szCs w:val="21"/>
        </w:rPr>
        <w:t>新任基金</w:t>
      </w:r>
      <w:proofErr w:type="gramEnd"/>
      <w:r>
        <w:rPr>
          <w:rFonts w:asciiTheme="minorEastAsia" w:eastAsiaTheme="minorEastAsia" w:hAnsiTheme="minorEastAsia" w:cs="Arial" w:hint="eastAsia"/>
          <w:szCs w:val="21"/>
        </w:rPr>
        <w:t>管理人产生之前，临时基金管理人由基金管理人、基金托管人、单独或合计持有10%以上（含10%）基金份额的基金份额持有人提名，中国证监会根据《基金法》的规定，从提名人选中择优指定临时管理人。基金管理人、基金托管人、单独或合计持有10%以上（含10%）基金份额的基金份额持有人均不提名的，由中国证监会指定临时基金管理人；</w:t>
      </w:r>
    </w:p>
    <w:p w14:paraId="4F0FA53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(4)备案：基金份额持有人大会更换基金管理人的决议须报中国证监会备案；</w:t>
      </w:r>
    </w:p>
    <w:p w14:paraId="2641F60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(5)公告：基金管理人更换后，由基金托管人在更换基金管理人的基金份额持有人大会决议生效后2日内在规定媒介公告；</w:t>
      </w:r>
    </w:p>
    <w:p w14:paraId="4B87B26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(6)交接与责任划分：基金管理人职责终止的，基金管理人应妥善保管基金管理业务资料，及时向临时基金管理人或</w:t>
      </w:r>
      <w:proofErr w:type="gramStart"/>
      <w:r>
        <w:rPr>
          <w:rFonts w:asciiTheme="minorEastAsia" w:eastAsiaTheme="minorEastAsia" w:hAnsiTheme="minorEastAsia" w:cs="Arial" w:hint="eastAsia"/>
          <w:szCs w:val="21"/>
        </w:rPr>
        <w:t>新任基金</w:t>
      </w:r>
      <w:proofErr w:type="gramEnd"/>
      <w:r>
        <w:rPr>
          <w:rFonts w:asciiTheme="minorEastAsia" w:eastAsiaTheme="minorEastAsia" w:hAnsiTheme="minorEastAsia" w:cs="Arial" w:hint="eastAsia"/>
          <w:szCs w:val="21"/>
        </w:rPr>
        <w:t>管理人办理基金管理业务的移交手续，临时基金管理人或</w:t>
      </w:r>
      <w:proofErr w:type="gramStart"/>
      <w:r>
        <w:rPr>
          <w:rFonts w:asciiTheme="minorEastAsia" w:eastAsiaTheme="minorEastAsia" w:hAnsiTheme="minorEastAsia" w:cs="Arial" w:hint="eastAsia"/>
          <w:szCs w:val="21"/>
        </w:rPr>
        <w:t>新任基金</w:t>
      </w:r>
      <w:proofErr w:type="gramEnd"/>
      <w:r>
        <w:rPr>
          <w:rFonts w:asciiTheme="minorEastAsia" w:eastAsiaTheme="minorEastAsia" w:hAnsiTheme="minorEastAsia" w:cs="Arial" w:hint="eastAsia"/>
          <w:szCs w:val="21"/>
        </w:rPr>
        <w:t>管理人应及时接收。临时基金管理人或</w:t>
      </w:r>
      <w:proofErr w:type="gramStart"/>
      <w:r>
        <w:rPr>
          <w:rFonts w:asciiTheme="minorEastAsia" w:eastAsiaTheme="minorEastAsia" w:hAnsiTheme="minorEastAsia" w:cs="Arial" w:hint="eastAsia"/>
          <w:szCs w:val="21"/>
        </w:rPr>
        <w:t>新任基金</w:t>
      </w:r>
      <w:proofErr w:type="gramEnd"/>
      <w:r>
        <w:rPr>
          <w:rFonts w:asciiTheme="minorEastAsia" w:eastAsiaTheme="minorEastAsia" w:hAnsiTheme="minorEastAsia" w:cs="Arial" w:hint="eastAsia"/>
          <w:szCs w:val="21"/>
        </w:rPr>
        <w:t>管理人应与基金托管人核对基金资产总值和净值；基金管理人、临时基金管理人、</w:t>
      </w:r>
      <w:proofErr w:type="gramStart"/>
      <w:r>
        <w:rPr>
          <w:rFonts w:asciiTheme="minorEastAsia" w:eastAsiaTheme="minorEastAsia" w:hAnsiTheme="minorEastAsia" w:cs="Arial" w:hint="eastAsia"/>
          <w:szCs w:val="21"/>
        </w:rPr>
        <w:t>新任基金</w:t>
      </w:r>
      <w:proofErr w:type="gramEnd"/>
      <w:r>
        <w:rPr>
          <w:rFonts w:asciiTheme="minorEastAsia" w:eastAsiaTheme="minorEastAsia" w:hAnsiTheme="minorEastAsia" w:cs="Arial" w:hint="eastAsia"/>
          <w:szCs w:val="21"/>
        </w:rPr>
        <w:t>管理人应对各自履职行为依法承担责任；</w:t>
      </w:r>
    </w:p>
    <w:p w14:paraId="2FD4B13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(7)审计：基金管理人职责终止的，应当按照法律法规规定聘请符合《中华人民共和国证券法》规定的会计师事务所对基金财产进行审计，并将审计结果予以公告，同时报中国证监会备案，审计费用在基金财产中列支；</w:t>
      </w:r>
    </w:p>
    <w:p w14:paraId="0D9ED4D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(8)基金名称变更：基金管理人更换后，如果原任或</w:t>
      </w:r>
      <w:proofErr w:type="gramStart"/>
      <w:r>
        <w:rPr>
          <w:rFonts w:asciiTheme="minorEastAsia" w:eastAsiaTheme="minorEastAsia" w:hAnsiTheme="minorEastAsia" w:cs="Arial" w:hint="eastAsia"/>
          <w:szCs w:val="21"/>
        </w:rPr>
        <w:t>新任基金</w:t>
      </w:r>
      <w:proofErr w:type="gramEnd"/>
      <w:r>
        <w:rPr>
          <w:rFonts w:asciiTheme="minorEastAsia" w:eastAsiaTheme="minorEastAsia" w:hAnsiTheme="minorEastAsia" w:cs="Arial" w:hint="eastAsia"/>
          <w:szCs w:val="21"/>
        </w:rPr>
        <w:t>管理人要求，应按其要求替</w:t>
      </w:r>
      <w:r>
        <w:rPr>
          <w:rFonts w:asciiTheme="minorEastAsia" w:eastAsiaTheme="minorEastAsia" w:hAnsiTheme="minorEastAsia" w:cs="Arial" w:hint="eastAsia"/>
          <w:szCs w:val="21"/>
        </w:rPr>
        <w:lastRenderedPageBreak/>
        <w:t>换或删除基金名称中与</w:t>
      </w:r>
      <w:proofErr w:type="gramStart"/>
      <w:r>
        <w:rPr>
          <w:rFonts w:asciiTheme="minorEastAsia" w:eastAsiaTheme="minorEastAsia" w:hAnsiTheme="minorEastAsia" w:cs="Arial" w:hint="eastAsia"/>
          <w:szCs w:val="21"/>
        </w:rPr>
        <w:t>原基金</w:t>
      </w:r>
      <w:proofErr w:type="gramEnd"/>
      <w:r>
        <w:rPr>
          <w:rFonts w:asciiTheme="minorEastAsia" w:eastAsiaTheme="minorEastAsia" w:hAnsiTheme="minorEastAsia" w:cs="Arial" w:hint="eastAsia"/>
          <w:szCs w:val="21"/>
        </w:rPr>
        <w:t>管理人有关的名称字样。</w:t>
      </w:r>
    </w:p>
    <w:p w14:paraId="2156D68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（二）基金托管人职责终止的情形</w:t>
      </w:r>
    </w:p>
    <w:p w14:paraId="1B70BDE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1.基金托管人职责终止的情形</w:t>
      </w:r>
    </w:p>
    <w:p w14:paraId="4F321DF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有下列情形之一的，基金托管人职责终止：</w:t>
      </w:r>
    </w:p>
    <w:p w14:paraId="50B528E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(1)被依法取消基金托管资格；</w:t>
      </w:r>
    </w:p>
    <w:p w14:paraId="50F0313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(2)依法解散、被依法撤销或被依法宣告破产；</w:t>
      </w:r>
    </w:p>
    <w:p w14:paraId="299DD7E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(3)被基金份额持有人大会解任；</w:t>
      </w:r>
    </w:p>
    <w:p w14:paraId="276FFA6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(4)法律法规及中国证监会规定的和《基金合同》约定的其他情形。</w:t>
      </w:r>
    </w:p>
    <w:p w14:paraId="0DE7151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2.基金托管人的更换程序</w:t>
      </w:r>
    </w:p>
    <w:p w14:paraId="7520157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(1)提名：</w:t>
      </w:r>
      <w:proofErr w:type="gramStart"/>
      <w:r>
        <w:rPr>
          <w:rFonts w:asciiTheme="minorEastAsia" w:eastAsiaTheme="minorEastAsia" w:hAnsiTheme="minorEastAsia" w:cs="Arial" w:hint="eastAsia"/>
          <w:szCs w:val="21"/>
        </w:rPr>
        <w:t>新任基金</w:t>
      </w:r>
      <w:proofErr w:type="gramEnd"/>
      <w:r>
        <w:rPr>
          <w:rFonts w:asciiTheme="minorEastAsia" w:eastAsiaTheme="minorEastAsia" w:hAnsiTheme="minorEastAsia" w:cs="Arial" w:hint="eastAsia"/>
          <w:szCs w:val="21"/>
        </w:rPr>
        <w:t>托管人由基金管理人或由单独或合计持有10%以上(含10%)基金份额的基金份额持有人提名；</w:t>
      </w:r>
    </w:p>
    <w:p w14:paraId="6AE4BD2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决议：基金份额持有人大会在基金托管人职责终止后6个月内对被提名的基金托管人形成决议，该决议需经参加大会的基金份额持有人所持表决权的三分之二以上(含三分之二)表决通过，决议自表决通过之日起生效；</w:t>
      </w:r>
    </w:p>
    <w:p w14:paraId="6439D7F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(3)临时基金托管人：</w:t>
      </w:r>
      <w:proofErr w:type="gramStart"/>
      <w:r>
        <w:rPr>
          <w:rFonts w:asciiTheme="minorEastAsia" w:eastAsiaTheme="minorEastAsia" w:hAnsiTheme="minorEastAsia" w:cs="Arial" w:hint="eastAsia"/>
          <w:szCs w:val="21"/>
        </w:rPr>
        <w:t>新任基金</w:t>
      </w:r>
      <w:proofErr w:type="gramEnd"/>
      <w:r>
        <w:rPr>
          <w:rFonts w:asciiTheme="minorEastAsia" w:eastAsiaTheme="minorEastAsia" w:hAnsiTheme="minorEastAsia" w:cs="Arial" w:hint="eastAsia"/>
          <w:szCs w:val="21"/>
        </w:rPr>
        <w:t>托管人产生之前，由中国证监会指定临时基金托管人；</w:t>
      </w:r>
    </w:p>
    <w:p w14:paraId="1A1FD5C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(4)备案：基金份额持有人大会更换基金托管人的决议须报中国证监会备案；</w:t>
      </w:r>
    </w:p>
    <w:p w14:paraId="52584CF1"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(5)公告：基金托管人更换后，由基金管理人在更换基金托管人的基金份额持有人大会决议生效后2日内在规定媒介公告；</w:t>
      </w:r>
    </w:p>
    <w:p w14:paraId="208C8EB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(6)交接：基金托管人职责终止的，应当妥善保管基金财产和基金托管业务资料，及时办理基金财产和基金托管业务的移交手续，</w:t>
      </w:r>
      <w:proofErr w:type="gramStart"/>
      <w:r>
        <w:rPr>
          <w:rFonts w:asciiTheme="minorEastAsia" w:eastAsiaTheme="minorEastAsia" w:hAnsiTheme="minorEastAsia" w:cs="Arial" w:hint="eastAsia"/>
          <w:szCs w:val="21"/>
        </w:rPr>
        <w:t>新任基金</w:t>
      </w:r>
      <w:proofErr w:type="gramEnd"/>
      <w:r>
        <w:rPr>
          <w:rFonts w:asciiTheme="minorEastAsia" w:eastAsiaTheme="minorEastAsia" w:hAnsiTheme="minorEastAsia" w:cs="Arial" w:hint="eastAsia"/>
          <w:szCs w:val="21"/>
        </w:rPr>
        <w:t>托管人或者临时基金托管人应当及时接收。</w:t>
      </w:r>
      <w:proofErr w:type="gramStart"/>
      <w:r>
        <w:rPr>
          <w:rFonts w:asciiTheme="minorEastAsia" w:eastAsiaTheme="minorEastAsia" w:hAnsiTheme="minorEastAsia" w:cs="Arial" w:hint="eastAsia"/>
          <w:szCs w:val="21"/>
        </w:rPr>
        <w:t>新任基金</w:t>
      </w:r>
      <w:proofErr w:type="gramEnd"/>
      <w:r>
        <w:rPr>
          <w:rFonts w:asciiTheme="minorEastAsia" w:eastAsiaTheme="minorEastAsia" w:hAnsiTheme="minorEastAsia" w:cs="Arial" w:hint="eastAsia"/>
          <w:szCs w:val="21"/>
        </w:rPr>
        <w:t>托管人或临时基金托管人应与基金管理人核对基金资产总值和净值；</w:t>
      </w:r>
    </w:p>
    <w:p w14:paraId="4B4CFD0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(7)审计：基金托管人职责终止的，应当按照法律法规规定聘请符合《中华人民共和国证券法》规定的会计师事务所对基金财产进行审计，并将审计结果予以公告，同时报中国证监会备案，审计费用在基金财产中列支。</w:t>
      </w:r>
    </w:p>
    <w:p w14:paraId="6393752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（三）基金管理人与基金托管人同时更换的条件和程序</w:t>
      </w:r>
    </w:p>
    <w:p w14:paraId="2B02CFF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1.提名：如果基金管理人和基金托管人同时更换，由单独或合计持有基金总份额10%以上(含10%)的基金份额持有人提名新的基金管理人和基金托管人；</w:t>
      </w:r>
    </w:p>
    <w:p w14:paraId="25F1B67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2.基金管理人和基金托管人的更换分别按上述程序进行；</w:t>
      </w:r>
    </w:p>
    <w:p w14:paraId="44F1A46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3.公告：</w:t>
      </w:r>
      <w:proofErr w:type="gramStart"/>
      <w:r>
        <w:rPr>
          <w:rFonts w:asciiTheme="minorEastAsia" w:eastAsiaTheme="minorEastAsia" w:hAnsiTheme="minorEastAsia" w:cs="Arial" w:hint="eastAsia"/>
          <w:szCs w:val="21"/>
        </w:rPr>
        <w:t>新任基金</w:t>
      </w:r>
      <w:proofErr w:type="gramEnd"/>
      <w:r>
        <w:rPr>
          <w:rFonts w:asciiTheme="minorEastAsia" w:eastAsiaTheme="minorEastAsia" w:hAnsiTheme="minorEastAsia" w:cs="Arial" w:hint="eastAsia"/>
          <w:szCs w:val="21"/>
        </w:rPr>
        <w:t>管理人和</w:t>
      </w:r>
      <w:proofErr w:type="gramStart"/>
      <w:r>
        <w:rPr>
          <w:rFonts w:asciiTheme="minorEastAsia" w:eastAsiaTheme="minorEastAsia" w:hAnsiTheme="minorEastAsia" w:cs="Arial" w:hint="eastAsia"/>
          <w:szCs w:val="21"/>
        </w:rPr>
        <w:t>新任基金</w:t>
      </w:r>
      <w:proofErr w:type="gramEnd"/>
      <w:r>
        <w:rPr>
          <w:rFonts w:asciiTheme="minorEastAsia" w:eastAsiaTheme="minorEastAsia" w:hAnsiTheme="minorEastAsia" w:cs="Arial" w:hint="eastAsia"/>
          <w:szCs w:val="21"/>
        </w:rPr>
        <w:t>托管人应在更换基金管理人和基金托管人的基金份额持有人大会决议生效后2日内在规定媒介上联合公告。</w:t>
      </w:r>
    </w:p>
    <w:p w14:paraId="053C2370" w14:textId="77777777" w:rsidR="002B077A" w:rsidRDefault="00DB5093">
      <w:pPr>
        <w:adjustRightInd w:val="0"/>
        <w:snapToGrid w:val="0"/>
        <w:spacing w:line="360" w:lineRule="auto"/>
        <w:ind w:firstLineChars="200" w:firstLine="420"/>
        <w:rPr>
          <w:rFonts w:asciiTheme="minorEastAsia" w:eastAsiaTheme="minorEastAsia" w:hAnsiTheme="minorEastAsia"/>
          <w:b/>
          <w:szCs w:val="21"/>
        </w:rPr>
      </w:pPr>
      <w:r>
        <w:rPr>
          <w:rFonts w:asciiTheme="minorEastAsia" w:eastAsiaTheme="minorEastAsia" w:hAnsiTheme="minorEastAsia" w:cs="Arial" w:hint="eastAsia"/>
          <w:szCs w:val="21"/>
        </w:rPr>
        <w:t>（四）</w:t>
      </w:r>
      <w:proofErr w:type="gramStart"/>
      <w:r>
        <w:rPr>
          <w:rFonts w:asciiTheme="minorEastAsia" w:eastAsiaTheme="minorEastAsia" w:hAnsiTheme="minorEastAsia" w:cs="Arial" w:hint="eastAsia"/>
          <w:szCs w:val="21"/>
        </w:rPr>
        <w:t>新任基金</w:t>
      </w:r>
      <w:proofErr w:type="gramEnd"/>
      <w:r>
        <w:rPr>
          <w:rFonts w:asciiTheme="minorEastAsia" w:eastAsiaTheme="minorEastAsia" w:hAnsiTheme="minorEastAsia" w:cs="Arial" w:hint="eastAsia"/>
          <w:szCs w:val="21"/>
        </w:rPr>
        <w:t>管理人或临时基金管理人接收基金管理业务，或</w:t>
      </w:r>
      <w:proofErr w:type="gramStart"/>
      <w:r>
        <w:rPr>
          <w:rFonts w:asciiTheme="minorEastAsia" w:eastAsiaTheme="minorEastAsia" w:hAnsiTheme="minorEastAsia" w:cs="Arial" w:hint="eastAsia"/>
          <w:szCs w:val="21"/>
        </w:rPr>
        <w:t>新任基金</w:t>
      </w:r>
      <w:proofErr w:type="gramEnd"/>
      <w:r>
        <w:rPr>
          <w:rFonts w:asciiTheme="minorEastAsia" w:eastAsiaTheme="minorEastAsia" w:hAnsiTheme="minorEastAsia" w:cs="Arial" w:hint="eastAsia"/>
          <w:szCs w:val="21"/>
        </w:rPr>
        <w:t>托管人或临时基金托管人接收基金财产和基金托管业务前，原</w:t>
      </w:r>
      <w:r>
        <w:rPr>
          <w:rFonts w:asciiTheme="minorEastAsia" w:eastAsiaTheme="minorEastAsia" w:hAnsiTheme="minorEastAsia" w:hint="eastAsia"/>
        </w:rPr>
        <w:t>任</w:t>
      </w:r>
      <w:r>
        <w:rPr>
          <w:rFonts w:asciiTheme="minorEastAsia" w:eastAsiaTheme="minorEastAsia" w:hAnsiTheme="minorEastAsia" w:cs="Arial" w:hint="eastAsia"/>
          <w:szCs w:val="21"/>
        </w:rPr>
        <w:t>基金管理人或原</w:t>
      </w:r>
      <w:r>
        <w:rPr>
          <w:rFonts w:asciiTheme="minorEastAsia" w:eastAsiaTheme="minorEastAsia" w:hAnsiTheme="minorEastAsia" w:hint="eastAsia"/>
        </w:rPr>
        <w:t>任</w:t>
      </w:r>
      <w:r>
        <w:rPr>
          <w:rFonts w:asciiTheme="minorEastAsia" w:eastAsiaTheme="minorEastAsia" w:hAnsiTheme="minorEastAsia" w:cs="Arial" w:hint="eastAsia"/>
          <w:szCs w:val="21"/>
        </w:rPr>
        <w:t>基金托管人应继续履行相关职责，并保证不得损害基金份额持有人的利益。原任基金管理人或基金托管人在继续履行相关职责期间，仍有权按照《基金合同》的规定收取基金管理费或基金托管费。</w:t>
      </w:r>
      <w:r>
        <w:rPr>
          <w:rFonts w:asciiTheme="minorEastAsia" w:eastAsiaTheme="minorEastAsia" w:hAnsiTheme="minorEastAsia"/>
          <w:szCs w:val="21"/>
        </w:rPr>
        <w:br w:type="page"/>
      </w:r>
    </w:p>
    <w:p w14:paraId="6F283F60"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98" w:name="_Toc520904548"/>
      <w:r>
        <w:rPr>
          <w:rFonts w:asciiTheme="minorEastAsia" w:eastAsiaTheme="minorEastAsia" w:hAnsiTheme="minorEastAsia" w:hint="eastAsia"/>
          <w:sz w:val="21"/>
          <w:szCs w:val="21"/>
        </w:rPr>
        <w:lastRenderedPageBreak/>
        <w:t>十五、禁止行为</w:t>
      </w:r>
      <w:bookmarkEnd w:id="98"/>
    </w:p>
    <w:p w14:paraId="76142ED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本协议当事人禁止从事的行为，包括但不限于：</w:t>
      </w:r>
    </w:p>
    <w:p w14:paraId="7F56271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（一）基金管理人、基金托管人将其固有财产或者他人财产混同于基金财产从事证券投资。</w:t>
      </w:r>
    </w:p>
    <w:p w14:paraId="2726FC6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（二）基金管理人不公平地对待其管理的不同基金财产，基金托管人不公平地对待其托管的不同基金财产。</w:t>
      </w:r>
    </w:p>
    <w:p w14:paraId="1DAE64F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（三）基金管理人、基金托管人利用基金财产为基金份额持有人以外的第三人牟取利益。</w:t>
      </w:r>
    </w:p>
    <w:p w14:paraId="46645E9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（四）基金管理人、基金托管人向基金份额持有人违规承诺收益或者承担损失。</w:t>
      </w:r>
    </w:p>
    <w:p w14:paraId="138E11F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（五）基金管理人、基金托管人对他人泄漏基金运作和管理过程中任何尚未按法律法规规定的方式公开披露的信息。</w:t>
      </w:r>
    </w:p>
    <w:p w14:paraId="4C54DAC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（六）基金管理人在没有充足资金的情况下向基金托管人发出投资指令和赎回、分红资金的划拨指令，或违规向基金托管人发出指令。</w:t>
      </w:r>
    </w:p>
    <w:p w14:paraId="6E5A8D5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（七）基金管理人、基金托管人在行政上、财务上不</w:t>
      </w:r>
      <w:proofErr w:type="gramStart"/>
      <w:r>
        <w:rPr>
          <w:rFonts w:asciiTheme="minorEastAsia" w:eastAsiaTheme="minorEastAsia" w:hAnsiTheme="minorEastAsia" w:cs="Arial" w:hint="eastAsia"/>
          <w:szCs w:val="21"/>
        </w:rPr>
        <w:t>独立,</w:t>
      </w:r>
      <w:proofErr w:type="gramEnd"/>
      <w:r>
        <w:rPr>
          <w:rFonts w:asciiTheme="minorEastAsia" w:eastAsiaTheme="minorEastAsia" w:hAnsiTheme="minorEastAsia" w:cs="Arial" w:hint="eastAsia"/>
          <w:szCs w:val="21"/>
        </w:rPr>
        <w:t>其高级管理人员和其他从业人员相互兼职。</w:t>
      </w:r>
    </w:p>
    <w:p w14:paraId="22EC21A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（八）基金托管人私自动用或处分基金财产，根据基金管理人的合法指令、《基金合同》或托管协议的规定进行处分的除外。</w:t>
      </w:r>
    </w:p>
    <w:p w14:paraId="57D423F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九）基金财产用于下列投资或者活动：1.承销证券；2.违反规定向他人贷款或者提供担保；3.从事承担无限责任的投资；4.买卖其他基金份额，但是中国证监会另有规定的除外；5.向其基金管理人、基金托管人出资；6.从事内幕交易、操纵证券交易价格及其他不正当的证券交易活动；7.法律、行政法规和中国证监会规定禁止的其他活动。法律、行政法规或监管部门取消上述禁止性规定，如适用于本基金，基金管理人在履行适当程序后，则本基金投资不再受相关限制。</w:t>
      </w:r>
    </w:p>
    <w:p w14:paraId="00739C5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（十）法律法规和《基金合同》禁止的其他行为，以及依照法律、行政法规有关规定，由中国证监会规定禁止基金管理人、基金托管人从事的其他行为。</w:t>
      </w:r>
    </w:p>
    <w:p w14:paraId="6E41432A" w14:textId="77777777" w:rsidR="002B077A" w:rsidRDefault="00DB5093">
      <w:pPr>
        <w:widowControl/>
        <w:spacing w:line="360" w:lineRule="auto"/>
        <w:jc w:val="left"/>
        <w:rPr>
          <w:rFonts w:asciiTheme="minorEastAsia" w:eastAsiaTheme="minorEastAsia" w:hAnsiTheme="minorEastAsia"/>
          <w:b/>
          <w:szCs w:val="21"/>
        </w:rPr>
      </w:pPr>
      <w:r>
        <w:rPr>
          <w:rFonts w:asciiTheme="minorEastAsia" w:eastAsiaTheme="minorEastAsia" w:hAnsiTheme="minorEastAsia"/>
          <w:szCs w:val="21"/>
        </w:rPr>
        <w:br w:type="page"/>
      </w:r>
    </w:p>
    <w:p w14:paraId="58BA9DBD"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99" w:name="_Toc520904549"/>
      <w:r>
        <w:rPr>
          <w:rFonts w:asciiTheme="minorEastAsia" w:eastAsiaTheme="minorEastAsia" w:hAnsiTheme="minorEastAsia" w:hint="eastAsia"/>
          <w:sz w:val="21"/>
          <w:szCs w:val="21"/>
        </w:rPr>
        <w:lastRenderedPageBreak/>
        <w:t>十六、托管协议的变更、终止与基金财产的清算</w:t>
      </w:r>
      <w:bookmarkEnd w:id="99"/>
    </w:p>
    <w:p w14:paraId="0A424E3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（一）托管协议的变更程序</w:t>
      </w:r>
    </w:p>
    <w:p w14:paraId="2CBFD67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本协议双方当事人经协商一致，可以对协议进行修改。修改后的新协议，其内容不得与《基金合同》的规定有任何冲突。基金托管协议的变更依据法律法规或监管机构的规定报中国证监会备案。</w:t>
      </w:r>
    </w:p>
    <w:p w14:paraId="56948E4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（二）托管协议终止的情形</w:t>
      </w:r>
    </w:p>
    <w:p w14:paraId="1C23AA04"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1.《基金合同》终止；</w:t>
      </w:r>
    </w:p>
    <w:p w14:paraId="1F3E1BF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2.基金托管人解散、依法被撤销、破产或由其他基金托管人接管基金托管业务；</w:t>
      </w:r>
    </w:p>
    <w:p w14:paraId="2CC3BBA2"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3.基金管理人解散、依法被撤销、破产或由其他基金管理人接管基金管理业务；</w:t>
      </w:r>
    </w:p>
    <w:p w14:paraId="6C01F4B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4.发生法律法规或《基金合同》规定的终止事项。</w:t>
      </w:r>
    </w:p>
    <w:p w14:paraId="2215F98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（三）基金财产的清算</w:t>
      </w:r>
    </w:p>
    <w:p w14:paraId="4012A35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1.基金财产清算小组：自出现《基金合同》终止事由之日起30个工作日内成立清算小组，基金管理人或临时基金管理人组织基金财产清算小组并在中国证监会的监督下进行基金清算。</w:t>
      </w:r>
    </w:p>
    <w:p w14:paraId="2611C8C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2.基金财产清算小组组成：基金财产清算小组成员由基金管理人</w:t>
      </w:r>
      <w:r>
        <w:rPr>
          <w:rFonts w:asciiTheme="minorEastAsia" w:eastAsiaTheme="minorEastAsia" w:hAnsiTheme="minorEastAsia" w:hint="eastAsia"/>
        </w:rPr>
        <w:t>或临时基金管理人</w:t>
      </w:r>
      <w:r>
        <w:rPr>
          <w:rFonts w:asciiTheme="minorEastAsia" w:eastAsiaTheme="minorEastAsia" w:hAnsiTheme="minorEastAsia" w:cs="Arial" w:hint="eastAsia"/>
          <w:szCs w:val="21"/>
        </w:rPr>
        <w:t>、基金托管人、具有从事证券相关业务资格的注册会计师、律师以及中国证监会指定的人员组成。基金财产清算小组可以聘用必要的工作人员。</w:t>
      </w:r>
    </w:p>
    <w:p w14:paraId="13514C2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3.基金财产清算小组职责：基金财产清算小组负责基金财产的保管、清理、估价、变现和分配。基金财产清算小组可以依法进行必要的民事活动。</w:t>
      </w:r>
    </w:p>
    <w:p w14:paraId="30E301F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4.基金财产清算程序：</w:t>
      </w:r>
    </w:p>
    <w:p w14:paraId="0FCED7A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(1)《基金合同》终止情形出现时，由基金财产清算小组统一接管基金财产；</w:t>
      </w:r>
    </w:p>
    <w:p w14:paraId="0D346F6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(2)对基金财产和债权债务进行清理和确认；</w:t>
      </w:r>
    </w:p>
    <w:p w14:paraId="2FA353D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(3)对基金财产进行估值和变现；</w:t>
      </w:r>
    </w:p>
    <w:p w14:paraId="27D3E4C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(4)制作清算报告；</w:t>
      </w:r>
    </w:p>
    <w:p w14:paraId="06FD5ED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(5)聘请会计师事务所对清算报告进行外部审计，聘请律师事务所对清算报告出具法律意见书；</w:t>
      </w:r>
    </w:p>
    <w:p w14:paraId="412B69A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(6)将清算报告报中国证监会备案并公告；</w:t>
      </w:r>
    </w:p>
    <w:p w14:paraId="3981949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(7)对基金剩余财产进行分配。</w:t>
      </w:r>
    </w:p>
    <w:p w14:paraId="3B2F66E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5.基金财产清算的期限为6个月，但因本基金所持证券的流动性受到限制或其他原因，导致基金财产不能及时变现的，清算期限可以相应顺延。</w:t>
      </w:r>
    </w:p>
    <w:p w14:paraId="248AE51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6.清算费用</w:t>
      </w:r>
    </w:p>
    <w:p w14:paraId="7F844A6B"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清算费用是指基金财产清算小组在进行基金财产清算过程中发生的所有合理费用，清算费用由基金财产清算小组优先从基金剩余财产中支付。</w:t>
      </w:r>
    </w:p>
    <w:p w14:paraId="1127F69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7.基金财产清算剩余资产的分配：</w:t>
      </w:r>
    </w:p>
    <w:p w14:paraId="452CB5B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依据基金财产清算的分配方案，将基金财产清算后的全部剩余资产扣除基金财产清算费</w:t>
      </w:r>
      <w:r>
        <w:rPr>
          <w:rFonts w:asciiTheme="minorEastAsia" w:eastAsiaTheme="minorEastAsia" w:hAnsiTheme="minorEastAsia" w:cs="Arial" w:hint="eastAsia"/>
          <w:szCs w:val="21"/>
        </w:rPr>
        <w:lastRenderedPageBreak/>
        <w:t>用、交纳所欠税款并清偿基金债务后，按各类基金份额在基金合同终止事由发生时各自基金份额资产净值的比例确定剩余财产在各类基金份额中的分配比例，并在各类基金份额可分配的剩余财产范围内按各份额类别内基金份额持有人持有的基金份额比例进行分配。</w:t>
      </w:r>
    </w:p>
    <w:p w14:paraId="5F44B8D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8.基金财产清算的公告</w:t>
      </w:r>
    </w:p>
    <w:p w14:paraId="6A73541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清算过程中的有关重大事项须及时公告；基金财产清算报告</w:t>
      </w:r>
      <w:proofErr w:type="gramStart"/>
      <w:r>
        <w:rPr>
          <w:rFonts w:asciiTheme="minorEastAsia" w:eastAsiaTheme="minorEastAsia" w:hAnsiTheme="minorEastAsia" w:cs="Arial" w:hint="eastAsia"/>
          <w:szCs w:val="21"/>
        </w:rPr>
        <w:t>经符合</w:t>
      </w:r>
      <w:proofErr w:type="gramEnd"/>
      <w:r>
        <w:rPr>
          <w:rFonts w:asciiTheme="minorEastAsia" w:eastAsiaTheme="minorEastAsia" w:hAnsiTheme="minorEastAsia" w:cs="Arial" w:hint="eastAsia"/>
          <w:szCs w:val="21"/>
        </w:rPr>
        <w:t>《中华人民共和国证券法》规定的会计师事务所审计并由律师事务所出具法律意见书后报中国证监会备案并公告。基金财产清算公告于基金财产清算报告报中国证监会备案后5个工作日内由基金财产清算小组进行公告，基金财产清算小组应当将清算报告登载在规定网站上，并将清算报告提示性公告登载在规定报刊上。</w:t>
      </w:r>
    </w:p>
    <w:p w14:paraId="656DBD3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9.基金财产清算账册及文件的保存</w:t>
      </w:r>
    </w:p>
    <w:p w14:paraId="3E01A08E"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基金财产清算账册及有关文件由基金托管人保存，保存期限不低于法律法规规定的最低期限。</w:t>
      </w:r>
    </w:p>
    <w:p w14:paraId="5F7947CB" w14:textId="77777777" w:rsidR="002B077A" w:rsidRDefault="00DB5093">
      <w:pPr>
        <w:widowControl/>
        <w:spacing w:line="360" w:lineRule="auto"/>
        <w:jc w:val="left"/>
        <w:rPr>
          <w:rFonts w:asciiTheme="minorEastAsia" w:eastAsiaTheme="minorEastAsia" w:hAnsiTheme="minorEastAsia"/>
          <w:b/>
          <w:szCs w:val="21"/>
        </w:rPr>
      </w:pPr>
      <w:r>
        <w:rPr>
          <w:rFonts w:asciiTheme="minorEastAsia" w:eastAsiaTheme="minorEastAsia" w:hAnsiTheme="minorEastAsia"/>
          <w:szCs w:val="21"/>
        </w:rPr>
        <w:br w:type="page"/>
      </w:r>
    </w:p>
    <w:p w14:paraId="4AC41947"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100" w:name="_Toc520904550"/>
      <w:r>
        <w:rPr>
          <w:rFonts w:asciiTheme="minorEastAsia" w:eastAsiaTheme="minorEastAsia" w:hAnsiTheme="minorEastAsia" w:hint="eastAsia"/>
          <w:sz w:val="21"/>
          <w:szCs w:val="21"/>
        </w:rPr>
        <w:lastRenderedPageBreak/>
        <w:t>十七、违约责任</w:t>
      </w:r>
      <w:bookmarkEnd w:id="100"/>
    </w:p>
    <w:p w14:paraId="600A8D2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（一）基金管理人、基金托管人不履行本协议或履行本协议不符合约定的，应当承担违约责任。</w:t>
      </w:r>
    </w:p>
    <w:p w14:paraId="0FD64BF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对损失的赔偿，仅限于直接损失。</w:t>
      </w:r>
    </w:p>
    <w:p w14:paraId="2B2D160D"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三）一方当事人违约，给另一方当事人造成损失的，应就直接损失进行赔偿；给基金财产造成损失的，应就直接损失进行赔偿，另一方当事人有权利及义务代表基金向违约方追偿。但是如发生下列情况，当事人免责：</w:t>
      </w:r>
    </w:p>
    <w:p w14:paraId="7BB3C9F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1.不可抗力；</w:t>
      </w:r>
    </w:p>
    <w:p w14:paraId="3B57C90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2.基金管理人和/或基金托管人按照当时有效的法律法规或中国证监会的规定作为或不作为而造成的损失等；</w:t>
      </w:r>
    </w:p>
    <w:p w14:paraId="31C798F6"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3.在没有过错的情况下，基金管理人由于按照《基金合同》规定的投资原则行使或不行使其投资权造成的损失等；</w:t>
      </w:r>
    </w:p>
    <w:p w14:paraId="6CD6C57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4.非因基金管理人、基金托管人的故意或重大过失造成的计算机系统故障、网络故障、通讯故障、电力故障、计算机病毒攻击及其它意外事故所导致的损失等。</w:t>
      </w:r>
    </w:p>
    <w:p w14:paraId="06627DD0"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0B8159BA"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（五）违约行为虽已发生，但本托管协议能够继续履行的，在最大限度地保护基金份额持有人利益的前提下，基金管理人和基金托管人应当继续履行本协议。</w:t>
      </w:r>
    </w:p>
    <w:p w14:paraId="7C5BDAC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（六）由于基金管理人、基金托管人不可控制的因素导致业务出现差错，基金管理人和基金托管人虽然已经采取必要、适当、合理的措施进行检查，但是未能发现错误</w:t>
      </w:r>
      <w:r>
        <w:rPr>
          <w:rFonts w:cs="Arial" w:hint="eastAsia"/>
        </w:rPr>
        <w:t>或者</w:t>
      </w:r>
      <w:proofErr w:type="gramStart"/>
      <w:r>
        <w:rPr>
          <w:rFonts w:cs="Arial" w:hint="eastAsia"/>
        </w:rPr>
        <w:t>虽发现</w:t>
      </w:r>
      <w:proofErr w:type="gramEnd"/>
      <w:r>
        <w:rPr>
          <w:rFonts w:cs="Arial" w:hint="eastAsia"/>
        </w:rPr>
        <w:t>错误但因前述原因无法更正</w:t>
      </w:r>
      <w:r>
        <w:rPr>
          <w:rFonts w:asciiTheme="minorEastAsia" w:eastAsiaTheme="minorEastAsia" w:hAnsiTheme="minorEastAsia" w:cs="Arial" w:hint="eastAsia"/>
          <w:szCs w:val="21"/>
        </w:rPr>
        <w:t>的，由此造成基金财产或投资人损失，基金管理人和基金托管人免除赔偿责任。但是基金管理人和基金托管人应积极采取必要的措施减轻或消除由此造成的影响。</w:t>
      </w:r>
    </w:p>
    <w:p w14:paraId="6AE51CEB" w14:textId="77777777" w:rsidR="002B077A" w:rsidRDefault="00DB5093">
      <w:pPr>
        <w:widowControl/>
        <w:spacing w:line="360" w:lineRule="auto"/>
        <w:jc w:val="left"/>
        <w:rPr>
          <w:rFonts w:asciiTheme="minorEastAsia" w:eastAsiaTheme="minorEastAsia" w:hAnsiTheme="minorEastAsia"/>
          <w:b/>
          <w:szCs w:val="21"/>
        </w:rPr>
      </w:pPr>
      <w:r>
        <w:rPr>
          <w:rFonts w:asciiTheme="minorEastAsia" w:eastAsiaTheme="minorEastAsia" w:hAnsiTheme="minorEastAsia"/>
          <w:szCs w:val="21"/>
        </w:rPr>
        <w:br w:type="page"/>
      </w:r>
    </w:p>
    <w:p w14:paraId="729363B8"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101" w:name="_Toc520904551"/>
      <w:r>
        <w:rPr>
          <w:rFonts w:asciiTheme="minorEastAsia" w:eastAsiaTheme="minorEastAsia" w:hAnsiTheme="minorEastAsia" w:hint="eastAsia"/>
          <w:sz w:val="21"/>
          <w:szCs w:val="21"/>
        </w:rPr>
        <w:lastRenderedPageBreak/>
        <w:t>十八、争议解决方式</w:t>
      </w:r>
      <w:bookmarkEnd w:id="101"/>
    </w:p>
    <w:p w14:paraId="1B658FE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因本协议产生或与之相关的争议，双方当事人应通过协商解决，协商不能解决的，任何一方均有权将争议提交中国国际经济贸易仲裁委员会，仲裁地点为北京市，按照中国国际经济贸易仲裁委员会届时有效的仲裁规则进行仲裁。仲裁裁决是终局的，对双方当事人均有约束力。除非仲裁裁决另有规定，仲裁费由败诉方承担。</w:t>
      </w:r>
    </w:p>
    <w:p w14:paraId="224DF60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争议处理期间，双方当事人应恪守基金管理人和基金托管人职责，各自继续忠实、勤勉、尽责地履行《基金合同》和本托管协议规定的义务，维护基金份额持有人的合法权益。</w:t>
      </w:r>
    </w:p>
    <w:p w14:paraId="23E3EFA4" w14:textId="18CAFDA3"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本协议受中华人民共和国法律（为本协议之目的，在此不包括香港、澳门特别行政区法律和台湾地区有关规定）管辖并从其解释。</w:t>
      </w:r>
    </w:p>
    <w:p w14:paraId="7A6D278A" w14:textId="77777777" w:rsidR="002B077A" w:rsidRDefault="002B077A">
      <w:pPr>
        <w:adjustRightInd w:val="0"/>
        <w:snapToGrid w:val="0"/>
        <w:spacing w:line="360" w:lineRule="auto"/>
        <w:ind w:firstLineChars="200" w:firstLine="420"/>
        <w:rPr>
          <w:rFonts w:asciiTheme="minorEastAsia" w:eastAsiaTheme="minorEastAsia" w:hAnsiTheme="minorEastAsia" w:cs="Arial"/>
          <w:szCs w:val="21"/>
        </w:rPr>
      </w:pPr>
    </w:p>
    <w:p w14:paraId="4892C57B" w14:textId="77777777" w:rsidR="002B077A" w:rsidRDefault="00DB5093">
      <w:pPr>
        <w:widowControl/>
        <w:spacing w:line="360" w:lineRule="auto"/>
        <w:jc w:val="left"/>
        <w:rPr>
          <w:rFonts w:asciiTheme="minorEastAsia" w:eastAsiaTheme="minorEastAsia" w:hAnsiTheme="minorEastAsia"/>
          <w:b/>
          <w:szCs w:val="21"/>
        </w:rPr>
      </w:pPr>
      <w:r>
        <w:rPr>
          <w:rFonts w:asciiTheme="minorEastAsia" w:eastAsiaTheme="minorEastAsia" w:hAnsiTheme="minorEastAsia"/>
          <w:szCs w:val="21"/>
        </w:rPr>
        <w:br w:type="page"/>
      </w:r>
    </w:p>
    <w:p w14:paraId="41AECC56"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102" w:name="_Toc520904552"/>
      <w:r>
        <w:rPr>
          <w:rFonts w:asciiTheme="minorEastAsia" w:eastAsiaTheme="minorEastAsia" w:hAnsiTheme="minorEastAsia" w:hint="eastAsia"/>
          <w:sz w:val="21"/>
          <w:szCs w:val="21"/>
        </w:rPr>
        <w:lastRenderedPageBreak/>
        <w:t>十九、托管协议的效力</w:t>
      </w:r>
      <w:bookmarkEnd w:id="102"/>
    </w:p>
    <w:p w14:paraId="69E1D21C"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双方对托管协议的效力约定如下：</w:t>
      </w:r>
    </w:p>
    <w:p w14:paraId="17467855"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备案的文本为正式文本。</w:t>
      </w:r>
    </w:p>
    <w:p w14:paraId="05830789"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（二）托管协议自《基金合同》成立之日起成立，自《基金合同》生效之日起生效。托管协议的有效期自其生效之日起至基金财产清算结果报中国证监会备案并公告之日止。</w:t>
      </w:r>
    </w:p>
    <w:p w14:paraId="0EC4BE28"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（三）托管协议自生效之日起对托管协议当事人具有同等的法律约束力。</w:t>
      </w:r>
    </w:p>
    <w:p w14:paraId="2CBFBE8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（四）本协议一式六份，协议双方各持二份，上报监管机关二份，每份具有同等的法律效力。</w:t>
      </w:r>
    </w:p>
    <w:p w14:paraId="52FD0B25" w14:textId="77777777" w:rsidR="002B077A" w:rsidRDefault="002B077A">
      <w:pPr>
        <w:adjustRightInd w:val="0"/>
        <w:snapToGrid w:val="0"/>
        <w:spacing w:line="360" w:lineRule="auto"/>
        <w:rPr>
          <w:rFonts w:asciiTheme="minorEastAsia" w:eastAsiaTheme="minorEastAsia" w:hAnsiTheme="minorEastAsia" w:cs="Arial"/>
          <w:szCs w:val="21"/>
        </w:rPr>
      </w:pPr>
    </w:p>
    <w:p w14:paraId="50A17CEE" w14:textId="77777777" w:rsidR="002B077A" w:rsidRDefault="00DB5093">
      <w:pPr>
        <w:widowControl/>
        <w:spacing w:line="360" w:lineRule="auto"/>
        <w:jc w:val="left"/>
        <w:rPr>
          <w:rFonts w:asciiTheme="minorEastAsia" w:eastAsiaTheme="minorEastAsia" w:hAnsiTheme="minorEastAsia"/>
          <w:b/>
          <w:szCs w:val="21"/>
        </w:rPr>
      </w:pPr>
      <w:r>
        <w:rPr>
          <w:rFonts w:asciiTheme="minorEastAsia" w:eastAsiaTheme="minorEastAsia" w:hAnsiTheme="minorEastAsia"/>
          <w:szCs w:val="21"/>
        </w:rPr>
        <w:br w:type="page"/>
      </w:r>
    </w:p>
    <w:p w14:paraId="5E42A547"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103" w:name="_Toc520904553"/>
      <w:r>
        <w:rPr>
          <w:rFonts w:asciiTheme="minorEastAsia" w:eastAsiaTheme="minorEastAsia" w:hAnsiTheme="minorEastAsia" w:hint="eastAsia"/>
          <w:sz w:val="21"/>
          <w:szCs w:val="21"/>
        </w:rPr>
        <w:lastRenderedPageBreak/>
        <w:t>二十、其他事项</w:t>
      </w:r>
      <w:bookmarkEnd w:id="103"/>
    </w:p>
    <w:p w14:paraId="3DCB876F"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如发生有权司法机关依法冻结基金份额持有人的基金份额时，基金管理人应予以配合，承担司法协助义务。</w:t>
      </w:r>
    </w:p>
    <w:p w14:paraId="441783B7"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除本协议有明确定义外，本协议的用语定义适用《基金合同》的约定。本协议未尽事宜，当事人依据《基金合同》、有关法律法规等规定协商办理。</w:t>
      </w:r>
    </w:p>
    <w:p w14:paraId="5524EDE1" w14:textId="77777777" w:rsidR="002B077A" w:rsidRDefault="002B077A">
      <w:pPr>
        <w:adjustRightInd w:val="0"/>
        <w:snapToGrid w:val="0"/>
        <w:spacing w:line="360" w:lineRule="auto"/>
        <w:rPr>
          <w:rFonts w:asciiTheme="minorEastAsia" w:eastAsiaTheme="minorEastAsia" w:hAnsiTheme="minorEastAsia"/>
          <w:b/>
          <w:bCs/>
          <w:szCs w:val="21"/>
        </w:rPr>
      </w:pPr>
    </w:p>
    <w:p w14:paraId="04C6A7E2" w14:textId="77777777" w:rsidR="002B077A" w:rsidRDefault="00DB5093">
      <w:pPr>
        <w:widowControl/>
        <w:spacing w:line="360" w:lineRule="auto"/>
        <w:jc w:val="left"/>
        <w:rPr>
          <w:rFonts w:asciiTheme="minorEastAsia" w:eastAsiaTheme="minorEastAsia" w:hAnsiTheme="minorEastAsia"/>
          <w:b/>
          <w:szCs w:val="21"/>
        </w:rPr>
      </w:pPr>
      <w:r>
        <w:rPr>
          <w:rFonts w:asciiTheme="minorEastAsia" w:eastAsiaTheme="minorEastAsia" w:hAnsiTheme="minorEastAsia"/>
          <w:szCs w:val="21"/>
        </w:rPr>
        <w:br w:type="page"/>
      </w:r>
    </w:p>
    <w:p w14:paraId="54234618" w14:textId="77777777" w:rsidR="002B077A" w:rsidRDefault="00DB5093">
      <w:pPr>
        <w:pStyle w:val="2"/>
        <w:spacing w:before="0" w:after="0" w:line="360" w:lineRule="auto"/>
        <w:jc w:val="center"/>
        <w:rPr>
          <w:rFonts w:asciiTheme="minorEastAsia" w:eastAsiaTheme="minorEastAsia" w:hAnsiTheme="minorEastAsia"/>
          <w:sz w:val="21"/>
          <w:szCs w:val="21"/>
        </w:rPr>
      </w:pPr>
      <w:bookmarkStart w:id="104" w:name="_Toc520904554"/>
      <w:r>
        <w:rPr>
          <w:rFonts w:asciiTheme="minorEastAsia" w:eastAsiaTheme="minorEastAsia" w:hAnsiTheme="minorEastAsia" w:hint="eastAsia"/>
          <w:sz w:val="21"/>
          <w:szCs w:val="21"/>
        </w:rPr>
        <w:lastRenderedPageBreak/>
        <w:t>二十一、托管协议的签订</w:t>
      </w:r>
      <w:bookmarkEnd w:id="104"/>
    </w:p>
    <w:p w14:paraId="6844DB03" w14:textId="77777777" w:rsidR="002B077A" w:rsidRDefault="00DB5093">
      <w:pPr>
        <w:adjustRightInd w:val="0"/>
        <w:snapToGrid w:val="0"/>
        <w:spacing w:line="360" w:lineRule="auto"/>
        <w:ind w:firstLineChars="200" w:firstLine="420"/>
        <w:rPr>
          <w:rFonts w:asciiTheme="minorEastAsia" w:eastAsiaTheme="minorEastAsia" w:hAnsiTheme="minorEastAsia" w:cs="Arial"/>
          <w:szCs w:val="21"/>
        </w:rPr>
      </w:pPr>
      <w:r>
        <w:rPr>
          <w:rFonts w:asciiTheme="minorEastAsia" w:eastAsiaTheme="minorEastAsia" w:hAnsiTheme="minorEastAsia" w:cs="Arial" w:hint="eastAsia"/>
          <w:szCs w:val="21"/>
        </w:rPr>
        <w:t>本协议双方法定代表人或授权代表签章、签订地、签订日</w:t>
      </w:r>
    </w:p>
    <w:p w14:paraId="04C32764" w14:textId="77777777" w:rsidR="002B077A" w:rsidRDefault="002B077A">
      <w:pPr>
        <w:adjustRightInd w:val="0"/>
        <w:snapToGrid w:val="0"/>
        <w:spacing w:line="360" w:lineRule="auto"/>
        <w:ind w:firstLineChars="200" w:firstLine="420"/>
        <w:rPr>
          <w:rFonts w:asciiTheme="minorEastAsia" w:eastAsiaTheme="minorEastAsia" w:hAnsiTheme="minorEastAsia" w:cs="Arial"/>
          <w:szCs w:val="21"/>
        </w:rPr>
        <w:sectPr w:rsidR="002B077A">
          <w:headerReference w:type="default" r:id="rId9"/>
          <w:pgSz w:w="11906" w:h="16838"/>
          <w:pgMar w:top="1418" w:right="1701" w:bottom="1418" w:left="1701" w:header="851" w:footer="992" w:gutter="0"/>
          <w:cols w:space="425"/>
          <w:docGrid w:type="lines" w:linePitch="312"/>
        </w:sectPr>
      </w:pPr>
    </w:p>
    <w:p w14:paraId="4DCAEB24" w14:textId="604B3002" w:rsidR="002B077A" w:rsidRDefault="00DB5093">
      <w:pPr>
        <w:spacing w:line="360" w:lineRule="auto"/>
        <w:ind w:right="26"/>
        <w:rPr>
          <w:rFonts w:asciiTheme="minorEastAsia" w:eastAsiaTheme="minorEastAsia" w:hAnsiTheme="minorEastAsia"/>
          <w:szCs w:val="21"/>
        </w:rPr>
      </w:pPr>
      <w:r>
        <w:rPr>
          <w:rFonts w:asciiTheme="minorEastAsia" w:eastAsiaTheme="minorEastAsia" w:hAnsiTheme="minorEastAsia" w:hint="eastAsia"/>
          <w:szCs w:val="21"/>
        </w:rPr>
        <w:lastRenderedPageBreak/>
        <w:t>本页无正文，为《摩根士丹利景气智选混合型证券投资基金托管协议》的签字盖章页。</w:t>
      </w:r>
    </w:p>
    <w:p w14:paraId="7CAB9D4E" w14:textId="77777777" w:rsidR="002B077A" w:rsidRDefault="002B077A">
      <w:pPr>
        <w:spacing w:line="360" w:lineRule="auto"/>
        <w:rPr>
          <w:rFonts w:asciiTheme="minorEastAsia" w:eastAsiaTheme="minorEastAsia" w:hAnsiTheme="minorEastAsia"/>
          <w:szCs w:val="21"/>
        </w:rPr>
      </w:pPr>
    </w:p>
    <w:p w14:paraId="5EBEB710" w14:textId="77777777" w:rsidR="002B077A" w:rsidRDefault="002B077A">
      <w:pPr>
        <w:spacing w:line="360" w:lineRule="auto"/>
        <w:rPr>
          <w:rFonts w:asciiTheme="minorEastAsia" w:eastAsiaTheme="minorEastAsia" w:hAnsiTheme="minorEastAsia"/>
          <w:szCs w:val="21"/>
        </w:rPr>
      </w:pPr>
    </w:p>
    <w:p w14:paraId="5581D939" w14:textId="77777777" w:rsidR="002B077A" w:rsidRDefault="002B077A">
      <w:pPr>
        <w:spacing w:line="360" w:lineRule="auto"/>
        <w:rPr>
          <w:rFonts w:asciiTheme="minorEastAsia" w:eastAsiaTheme="minorEastAsia" w:hAnsiTheme="minorEastAsia"/>
          <w:szCs w:val="21"/>
        </w:rPr>
      </w:pPr>
    </w:p>
    <w:p w14:paraId="71773592" w14:textId="77777777" w:rsidR="002B077A" w:rsidRDefault="00DB5093">
      <w:pPr>
        <w:spacing w:line="360" w:lineRule="auto"/>
        <w:ind w:right="26"/>
        <w:rPr>
          <w:rFonts w:asciiTheme="minorEastAsia" w:eastAsiaTheme="minorEastAsia" w:hAnsiTheme="minorEastAsia"/>
          <w:szCs w:val="21"/>
        </w:rPr>
      </w:pPr>
      <w:r>
        <w:rPr>
          <w:rFonts w:asciiTheme="minorEastAsia" w:eastAsiaTheme="minorEastAsia" w:hAnsiTheme="minorEastAsia" w:hint="eastAsia"/>
          <w:szCs w:val="21"/>
        </w:rPr>
        <w:t>基金管理人：摩根士丹利基金管理（中国）有限公司（盖章）</w:t>
      </w:r>
    </w:p>
    <w:p w14:paraId="054F2864" w14:textId="77777777" w:rsidR="002B077A" w:rsidRDefault="002B077A">
      <w:pPr>
        <w:spacing w:line="360" w:lineRule="auto"/>
        <w:ind w:right="26"/>
        <w:rPr>
          <w:rFonts w:asciiTheme="minorEastAsia" w:eastAsiaTheme="minorEastAsia" w:hAnsiTheme="minorEastAsia"/>
          <w:szCs w:val="21"/>
        </w:rPr>
      </w:pPr>
    </w:p>
    <w:p w14:paraId="48CD2BAA" w14:textId="77777777" w:rsidR="002B077A" w:rsidRDefault="002B077A">
      <w:pPr>
        <w:spacing w:line="360" w:lineRule="auto"/>
        <w:ind w:right="26"/>
        <w:rPr>
          <w:rFonts w:asciiTheme="minorEastAsia" w:eastAsiaTheme="minorEastAsia" w:hAnsiTheme="minorEastAsia"/>
          <w:szCs w:val="21"/>
        </w:rPr>
      </w:pPr>
    </w:p>
    <w:p w14:paraId="02110076" w14:textId="77777777" w:rsidR="002B077A" w:rsidRDefault="002B077A">
      <w:pPr>
        <w:spacing w:line="360" w:lineRule="auto"/>
        <w:ind w:right="26"/>
        <w:rPr>
          <w:rFonts w:asciiTheme="minorEastAsia" w:eastAsiaTheme="minorEastAsia" w:hAnsiTheme="minorEastAsia"/>
          <w:szCs w:val="21"/>
        </w:rPr>
      </w:pPr>
    </w:p>
    <w:p w14:paraId="614B7154" w14:textId="77777777" w:rsidR="002B077A" w:rsidRDefault="002B077A">
      <w:pPr>
        <w:spacing w:line="360" w:lineRule="auto"/>
        <w:ind w:right="26"/>
        <w:rPr>
          <w:rFonts w:asciiTheme="minorEastAsia" w:eastAsiaTheme="minorEastAsia" w:hAnsiTheme="minorEastAsia"/>
          <w:szCs w:val="21"/>
        </w:rPr>
      </w:pPr>
    </w:p>
    <w:p w14:paraId="264781C8" w14:textId="77777777" w:rsidR="002B077A" w:rsidRDefault="00DB5093">
      <w:pPr>
        <w:spacing w:line="360" w:lineRule="auto"/>
        <w:ind w:right="26"/>
        <w:rPr>
          <w:rFonts w:asciiTheme="minorEastAsia" w:eastAsiaTheme="minorEastAsia" w:hAnsiTheme="minorEastAsia"/>
          <w:szCs w:val="21"/>
        </w:rPr>
      </w:pPr>
      <w:r>
        <w:rPr>
          <w:rFonts w:asciiTheme="minorEastAsia" w:eastAsiaTheme="minorEastAsia" w:hAnsiTheme="minorEastAsia" w:hint="eastAsia"/>
          <w:szCs w:val="21"/>
        </w:rPr>
        <w:t xml:space="preserve">法定代表人或授权代表：                   </w:t>
      </w:r>
    </w:p>
    <w:p w14:paraId="204A8D1B" w14:textId="77777777" w:rsidR="002B077A" w:rsidRDefault="002B077A">
      <w:pPr>
        <w:spacing w:line="360" w:lineRule="auto"/>
        <w:ind w:right="26"/>
        <w:rPr>
          <w:rFonts w:asciiTheme="minorEastAsia" w:eastAsiaTheme="minorEastAsia" w:hAnsiTheme="minorEastAsia"/>
          <w:szCs w:val="21"/>
        </w:rPr>
      </w:pPr>
    </w:p>
    <w:p w14:paraId="6714082B" w14:textId="77777777" w:rsidR="002B077A" w:rsidRDefault="002B077A">
      <w:pPr>
        <w:spacing w:line="360" w:lineRule="auto"/>
        <w:ind w:right="26"/>
        <w:rPr>
          <w:rFonts w:asciiTheme="minorEastAsia" w:eastAsiaTheme="minorEastAsia" w:hAnsiTheme="minorEastAsia"/>
          <w:szCs w:val="21"/>
        </w:rPr>
      </w:pPr>
    </w:p>
    <w:p w14:paraId="068A3EC7" w14:textId="77777777" w:rsidR="002B077A" w:rsidRDefault="002B077A">
      <w:pPr>
        <w:spacing w:line="360" w:lineRule="auto"/>
        <w:ind w:right="26"/>
        <w:rPr>
          <w:rFonts w:asciiTheme="minorEastAsia" w:eastAsiaTheme="minorEastAsia" w:hAnsiTheme="minorEastAsia"/>
          <w:szCs w:val="21"/>
        </w:rPr>
      </w:pPr>
    </w:p>
    <w:p w14:paraId="00971404" w14:textId="77777777" w:rsidR="002B077A" w:rsidRDefault="002B077A">
      <w:pPr>
        <w:spacing w:line="360" w:lineRule="auto"/>
        <w:ind w:right="26"/>
        <w:rPr>
          <w:rFonts w:asciiTheme="minorEastAsia" w:eastAsiaTheme="minorEastAsia" w:hAnsiTheme="minorEastAsia"/>
          <w:szCs w:val="21"/>
        </w:rPr>
      </w:pPr>
    </w:p>
    <w:p w14:paraId="3EE78803" w14:textId="77777777" w:rsidR="002B077A" w:rsidRDefault="002B077A">
      <w:pPr>
        <w:spacing w:line="360" w:lineRule="auto"/>
        <w:ind w:right="26"/>
        <w:rPr>
          <w:rFonts w:asciiTheme="minorEastAsia" w:eastAsiaTheme="minorEastAsia" w:hAnsiTheme="minorEastAsia"/>
          <w:szCs w:val="21"/>
        </w:rPr>
      </w:pPr>
    </w:p>
    <w:p w14:paraId="5359BB86" w14:textId="77777777" w:rsidR="002B077A" w:rsidRDefault="00DB5093">
      <w:pPr>
        <w:spacing w:line="360" w:lineRule="auto"/>
        <w:ind w:right="26"/>
        <w:rPr>
          <w:rFonts w:asciiTheme="minorEastAsia" w:eastAsiaTheme="minorEastAsia" w:hAnsiTheme="minorEastAsia"/>
          <w:szCs w:val="21"/>
        </w:rPr>
      </w:pPr>
      <w:r>
        <w:rPr>
          <w:rFonts w:asciiTheme="minorEastAsia" w:eastAsiaTheme="minorEastAsia" w:hAnsiTheme="minorEastAsia" w:hint="eastAsia"/>
          <w:szCs w:val="21"/>
        </w:rPr>
        <w:t>基金托管人：中国建设银行股份有限公司（盖章）</w:t>
      </w:r>
    </w:p>
    <w:p w14:paraId="347BE038" w14:textId="77777777" w:rsidR="002B077A" w:rsidRDefault="002B077A">
      <w:pPr>
        <w:spacing w:line="360" w:lineRule="auto"/>
        <w:ind w:right="26"/>
        <w:rPr>
          <w:rFonts w:asciiTheme="minorEastAsia" w:eastAsiaTheme="minorEastAsia" w:hAnsiTheme="minorEastAsia"/>
          <w:szCs w:val="21"/>
        </w:rPr>
      </w:pPr>
    </w:p>
    <w:p w14:paraId="0F558456" w14:textId="77777777" w:rsidR="002B077A" w:rsidRDefault="002B077A">
      <w:pPr>
        <w:spacing w:line="360" w:lineRule="auto"/>
        <w:ind w:right="26"/>
        <w:rPr>
          <w:rFonts w:asciiTheme="minorEastAsia" w:eastAsiaTheme="minorEastAsia" w:hAnsiTheme="minorEastAsia"/>
          <w:szCs w:val="21"/>
        </w:rPr>
      </w:pPr>
    </w:p>
    <w:p w14:paraId="5EC28F5D" w14:textId="77777777" w:rsidR="002B077A" w:rsidRDefault="002B077A">
      <w:pPr>
        <w:spacing w:line="360" w:lineRule="auto"/>
        <w:ind w:right="26"/>
        <w:rPr>
          <w:rFonts w:asciiTheme="minorEastAsia" w:eastAsiaTheme="minorEastAsia" w:hAnsiTheme="minorEastAsia"/>
          <w:szCs w:val="21"/>
        </w:rPr>
      </w:pPr>
    </w:p>
    <w:p w14:paraId="6902BE7F" w14:textId="77777777" w:rsidR="002B077A" w:rsidRDefault="002B077A">
      <w:pPr>
        <w:spacing w:line="360" w:lineRule="auto"/>
        <w:ind w:right="26"/>
        <w:rPr>
          <w:rFonts w:asciiTheme="minorEastAsia" w:eastAsiaTheme="minorEastAsia" w:hAnsiTheme="minorEastAsia"/>
          <w:szCs w:val="21"/>
        </w:rPr>
      </w:pPr>
    </w:p>
    <w:p w14:paraId="2952F491" w14:textId="77777777" w:rsidR="002B077A" w:rsidRDefault="00DB5093">
      <w:pPr>
        <w:spacing w:line="360" w:lineRule="auto"/>
        <w:ind w:right="26"/>
        <w:rPr>
          <w:rFonts w:asciiTheme="minorEastAsia" w:eastAsiaTheme="minorEastAsia" w:hAnsiTheme="minorEastAsia"/>
          <w:szCs w:val="21"/>
        </w:rPr>
      </w:pPr>
      <w:r>
        <w:rPr>
          <w:rFonts w:asciiTheme="minorEastAsia" w:eastAsiaTheme="minorEastAsia" w:hAnsiTheme="minorEastAsia" w:hint="eastAsia"/>
          <w:szCs w:val="21"/>
        </w:rPr>
        <w:t xml:space="preserve">法定代表人或授权代表：                   </w:t>
      </w:r>
    </w:p>
    <w:p w14:paraId="6E7D1DC3" w14:textId="77777777" w:rsidR="002B077A" w:rsidRDefault="002B077A">
      <w:pPr>
        <w:spacing w:line="360" w:lineRule="auto"/>
        <w:ind w:right="26"/>
        <w:rPr>
          <w:rFonts w:asciiTheme="minorEastAsia" w:eastAsiaTheme="minorEastAsia" w:hAnsiTheme="minorEastAsia"/>
          <w:b/>
          <w:szCs w:val="21"/>
        </w:rPr>
      </w:pPr>
    </w:p>
    <w:p w14:paraId="50EBBFCB" w14:textId="77777777" w:rsidR="002B077A" w:rsidRDefault="002B077A">
      <w:pPr>
        <w:spacing w:line="360" w:lineRule="auto"/>
        <w:ind w:right="26"/>
        <w:rPr>
          <w:rFonts w:asciiTheme="minorEastAsia" w:eastAsiaTheme="minorEastAsia" w:hAnsiTheme="minorEastAsia"/>
          <w:b/>
          <w:szCs w:val="21"/>
        </w:rPr>
      </w:pPr>
    </w:p>
    <w:p w14:paraId="7F29B59E" w14:textId="77777777" w:rsidR="002B077A" w:rsidRDefault="002B077A">
      <w:pPr>
        <w:spacing w:line="360" w:lineRule="auto"/>
        <w:ind w:right="26"/>
        <w:rPr>
          <w:rFonts w:asciiTheme="minorEastAsia" w:eastAsiaTheme="minorEastAsia" w:hAnsiTheme="minorEastAsia"/>
          <w:b/>
          <w:szCs w:val="21"/>
        </w:rPr>
      </w:pPr>
    </w:p>
    <w:p w14:paraId="7E297DA8" w14:textId="77777777" w:rsidR="002B077A" w:rsidRDefault="00DB5093">
      <w:pPr>
        <w:spacing w:line="360" w:lineRule="auto"/>
        <w:ind w:right="26"/>
        <w:rPr>
          <w:rFonts w:asciiTheme="minorEastAsia" w:eastAsiaTheme="minorEastAsia" w:hAnsiTheme="minorEastAsia"/>
          <w:b/>
          <w:szCs w:val="21"/>
        </w:rPr>
      </w:pPr>
      <w:r>
        <w:rPr>
          <w:rFonts w:asciiTheme="minorEastAsia" w:eastAsiaTheme="minorEastAsia" w:hAnsiTheme="minorEastAsia" w:hint="eastAsia"/>
          <w:b/>
          <w:szCs w:val="21"/>
        </w:rPr>
        <w:t>签订地点：北京</w:t>
      </w:r>
    </w:p>
    <w:p w14:paraId="18C6A1A0" w14:textId="77777777" w:rsidR="002B077A" w:rsidRDefault="00DB5093">
      <w:pPr>
        <w:spacing w:line="360" w:lineRule="auto"/>
        <w:ind w:right="26"/>
        <w:rPr>
          <w:rFonts w:asciiTheme="minorEastAsia" w:eastAsiaTheme="minorEastAsia" w:hAnsiTheme="minorEastAsia"/>
          <w:b/>
          <w:szCs w:val="21"/>
        </w:rPr>
      </w:pPr>
      <w:r>
        <w:rPr>
          <w:rFonts w:asciiTheme="minorEastAsia" w:eastAsiaTheme="minorEastAsia" w:hAnsiTheme="minorEastAsia" w:hint="eastAsia"/>
          <w:b/>
          <w:szCs w:val="21"/>
        </w:rPr>
        <w:t>签 订 日：二零</w:t>
      </w:r>
      <w:r>
        <w:rPr>
          <w:rFonts w:asciiTheme="minorEastAsia" w:eastAsiaTheme="minorEastAsia" w:hAnsiTheme="minorEastAsia" w:cs="宋体" w:hint="eastAsia"/>
          <w:b/>
          <w:szCs w:val="21"/>
        </w:rPr>
        <w:t xml:space="preserve">  </w:t>
      </w:r>
      <w:r>
        <w:rPr>
          <w:rFonts w:asciiTheme="minorEastAsia" w:eastAsiaTheme="minorEastAsia" w:hAnsiTheme="minorEastAsia" w:hint="eastAsia"/>
          <w:b/>
          <w:szCs w:val="21"/>
        </w:rPr>
        <w:t>年</w:t>
      </w:r>
      <w:r>
        <w:rPr>
          <w:rFonts w:asciiTheme="minorEastAsia" w:eastAsiaTheme="minorEastAsia" w:hAnsiTheme="minorEastAsia" w:cs="宋体" w:hint="eastAsia"/>
          <w:b/>
          <w:szCs w:val="21"/>
        </w:rPr>
        <w:t xml:space="preserve"> </w:t>
      </w:r>
      <w:r>
        <w:rPr>
          <w:rFonts w:asciiTheme="minorEastAsia" w:eastAsiaTheme="minorEastAsia" w:hAnsiTheme="minorEastAsia" w:hint="eastAsia"/>
          <w:b/>
          <w:szCs w:val="21"/>
        </w:rPr>
        <w:t>月</w:t>
      </w:r>
      <w:r>
        <w:rPr>
          <w:rFonts w:asciiTheme="minorEastAsia" w:eastAsiaTheme="minorEastAsia" w:hAnsiTheme="minorEastAsia" w:cs="宋体" w:hint="eastAsia"/>
          <w:b/>
          <w:szCs w:val="21"/>
        </w:rPr>
        <w:t xml:space="preserve"> </w:t>
      </w:r>
      <w:r>
        <w:rPr>
          <w:rFonts w:asciiTheme="minorEastAsia" w:eastAsiaTheme="minorEastAsia" w:hAnsiTheme="minorEastAsia" w:hint="eastAsia"/>
          <w:b/>
          <w:szCs w:val="21"/>
        </w:rPr>
        <w:t>日</w:t>
      </w:r>
    </w:p>
    <w:p w14:paraId="173339E4" w14:textId="77777777" w:rsidR="002B077A" w:rsidRDefault="002B077A">
      <w:pPr>
        <w:adjustRightInd w:val="0"/>
        <w:snapToGrid w:val="0"/>
        <w:spacing w:line="360" w:lineRule="auto"/>
        <w:rPr>
          <w:rFonts w:asciiTheme="minorEastAsia" w:eastAsiaTheme="minorEastAsia" w:hAnsiTheme="minorEastAsia" w:cs="Arial"/>
          <w:szCs w:val="21"/>
        </w:rPr>
      </w:pPr>
    </w:p>
    <w:p w14:paraId="23408D3D" w14:textId="77777777" w:rsidR="002B077A" w:rsidRDefault="002B077A">
      <w:pPr>
        <w:spacing w:line="360" w:lineRule="auto"/>
        <w:rPr>
          <w:rFonts w:asciiTheme="minorEastAsia" w:eastAsiaTheme="minorEastAsia" w:hAnsiTheme="minorEastAsia"/>
          <w:szCs w:val="21"/>
        </w:rPr>
      </w:pPr>
    </w:p>
    <w:p w14:paraId="7E77137B" w14:textId="77777777" w:rsidR="002B077A" w:rsidRDefault="002B077A">
      <w:pPr>
        <w:spacing w:line="360" w:lineRule="auto"/>
        <w:rPr>
          <w:rFonts w:asciiTheme="minorEastAsia" w:eastAsiaTheme="minorEastAsia" w:hAnsiTheme="minorEastAsia"/>
          <w:szCs w:val="21"/>
        </w:rPr>
      </w:pPr>
    </w:p>
    <w:sectPr w:rsidR="002B077A">
      <w:headerReference w:type="default" r:id="rId10"/>
      <w:footerReference w:type="default" r:id="rId11"/>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CFFA9" w14:textId="77777777" w:rsidR="00B07BF7" w:rsidRDefault="00B07BF7">
      <w:r>
        <w:separator/>
      </w:r>
    </w:p>
  </w:endnote>
  <w:endnote w:type="continuationSeparator" w:id="0">
    <w:p w14:paraId="24878F10" w14:textId="77777777" w:rsidR="00B07BF7" w:rsidRDefault="00B0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1" w:usb1="080E0000" w:usb2="00000000" w:usb3="00000000" w:csb0="00040000" w:csb1="00000000"/>
  </w:font>
  <w:font w:name="方正仿宋简体">
    <w:altName w:val="微软雅黑"/>
    <w:charset w:val="86"/>
    <w:family w:val="script"/>
    <w:pitch w:val="default"/>
    <w:sig w:usb0="00000000" w:usb1="00000000" w:usb2="00000010" w:usb3="00000000" w:csb0="00040000"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楷体_GB2312">
    <w:altName w:val="楷体"/>
    <w:charset w:val="86"/>
    <w:family w:val="modern"/>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ABD6B" w14:textId="77777777" w:rsidR="00B07BF7" w:rsidRDefault="00B07BF7">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end"/>
    </w:r>
  </w:p>
  <w:p w14:paraId="15A19A2D" w14:textId="77777777" w:rsidR="00B07BF7" w:rsidRDefault="00B07BF7">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CE94F" w14:textId="10797A7E" w:rsidR="00B07BF7" w:rsidRDefault="00B07BF7">
    <w:pPr>
      <w:pStyle w:val="ae"/>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2C7956">
      <w:rPr>
        <w:rStyle w:val="af6"/>
        <w:noProof/>
      </w:rPr>
      <w:t>20</w:t>
    </w:r>
    <w:r>
      <w:rPr>
        <w:rStyle w:val="af6"/>
      </w:rPr>
      <w:fldChar w:fldCharType="end"/>
    </w:r>
  </w:p>
  <w:p w14:paraId="041F626E" w14:textId="77777777" w:rsidR="00B07BF7" w:rsidRDefault="00B07BF7">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A70F1" w14:textId="77777777" w:rsidR="00B07BF7" w:rsidRDefault="00B07BF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82D2F9" w14:textId="77777777" w:rsidR="00B07BF7" w:rsidRDefault="00B07BF7">
      <w:r>
        <w:separator/>
      </w:r>
    </w:p>
  </w:footnote>
  <w:footnote w:type="continuationSeparator" w:id="0">
    <w:p w14:paraId="370FE129" w14:textId="77777777" w:rsidR="00B07BF7" w:rsidRDefault="00B07B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8D43F" w14:textId="3F7DA1A8" w:rsidR="00B07BF7" w:rsidRDefault="00B07BF7">
    <w:pPr>
      <w:pStyle w:val="af0"/>
      <w:jc w:val="both"/>
    </w:pPr>
    <w:r>
      <w:rPr>
        <w:rFonts w:hint="eastAsia"/>
      </w:rPr>
      <w:t>摩根士丹利景气智选混合型证券投资基金</w:t>
    </w:r>
    <w:r>
      <w:rPr>
        <w:rFonts w:hint="eastAsia"/>
      </w:rPr>
      <w:t xml:space="preserve">                                       </w:t>
    </w:r>
    <w:r>
      <w:t xml:space="preserve">           </w:t>
    </w:r>
    <w:r>
      <w:rPr>
        <w:rFonts w:hint="eastAsia"/>
      </w:rPr>
      <w:t>托管协议</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A9ABB2" w14:textId="51AF7735" w:rsidR="00B07BF7" w:rsidRDefault="00B07BF7">
    <w:pPr>
      <w:pStyle w:val="af0"/>
      <w:jc w:val="both"/>
      <w:rPr>
        <w:rFonts w:asciiTheme="majorEastAsia" w:eastAsiaTheme="majorEastAsia" w:hAnsiTheme="majorEastAsia"/>
        <w:sz w:val="11"/>
      </w:rPr>
    </w:pPr>
    <w:r>
      <w:rPr>
        <w:rFonts w:asciiTheme="majorEastAsia" w:eastAsiaTheme="majorEastAsia" w:hAnsiTheme="majorEastAsia" w:hint="eastAsia"/>
      </w:rPr>
      <w:t>摩根士丹利景气智选混合型证券投资基金</w:t>
    </w:r>
    <w:r>
      <w:rPr>
        <w:rFonts w:asciiTheme="majorEastAsia" w:eastAsiaTheme="majorEastAsia" w:hAnsiTheme="majorEastAsia"/>
      </w:rPr>
      <w:t xml:space="preserve">                                                  </w:t>
    </w:r>
    <w:r>
      <w:rPr>
        <w:rFonts w:asciiTheme="majorEastAsia" w:eastAsiaTheme="majorEastAsia" w:hAnsiTheme="majorEastAsia" w:hint="eastAsia"/>
      </w:rPr>
      <w:t>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146"/>
    <w:rsid w:val="000020AE"/>
    <w:rsid w:val="00004C51"/>
    <w:rsid w:val="00005CDD"/>
    <w:rsid w:val="000131E2"/>
    <w:rsid w:val="00013707"/>
    <w:rsid w:val="00014701"/>
    <w:rsid w:val="00014FBF"/>
    <w:rsid w:val="00025E87"/>
    <w:rsid w:val="00026F60"/>
    <w:rsid w:val="00034010"/>
    <w:rsid w:val="00036297"/>
    <w:rsid w:val="00037611"/>
    <w:rsid w:val="00046BF8"/>
    <w:rsid w:val="00053314"/>
    <w:rsid w:val="00054E68"/>
    <w:rsid w:val="000559F5"/>
    <w:rsid w:val="00066F06"/>
    <w:rsid w:val="00076B7B"/>
    <w:rsid w:val="00076CEF"/>
    <w:rsid w:val="00085DAC"/>
    <w:rsid w:val="00085E8C"/>
    <w:rsid w:val="000866A6"/>
    <w:rsid w:val="000866FA"/>
    <w:rsid w:val="00087DA3"/>
    <w:rsid w:val="00094C12"/>
    <w:rsid w:val="000A3745"/>
    <w:rsid w:val="000A473F"/>
    <w:rsid w:val="000A597B"/>
    <w:rsid w:val="000A7983"/>
    <w:rsid w:val="000B1860"/>
    <w:rsid w:val="000B19A2"/>
    <w:rsid w:val="000C74CA"/>
    <w:rsid w:val="000D5B8B"/>
    <w:rsid w:val="000D719F"/>
    <w:rsid w:val="000E3585"/>
    <w:rsid w:val="000E3DC8"/>
    <w:rsid w:val="000E4C2C"/>
    <w:rsid w:val="000E4C7C"/>
    <w:rsid w:val="000E7B98"/>
    <w:rsid w:val="000E7F22"/>
    <w:rsid w:val="000F1F97"/>
    <w:rsid w:val="000F422B"/>
    <w:rsid w:val="000F6E2C"/>
    <w:rsid w:val="001045B7"/>
    <w:rsid w:val="0011021E"/>
    <w:rsid w:val="00115C62"/>
    <w:rsid w:val="00126640"/>
    <w:rsid w:val="0012748F"/>
    <w:rsid w:val="001370FA"/>
    <w:rsid w:val="00140B5D"/>
    <w:rsid w:val="00143979"/>
    <w:rsid w:val="001446A5"/>
    <w:rsid w:val="00145391"/>
    <w:rsid w:val="00153068"/>
    <w:rsid w:val="001536CF"/>
    <w:rsid w:val="00156782"/>
    <w:rsid w:val="00157AAC"/>
    <w:rsid w:val="001621C4"/>
    <w:rsid w:val="0016483C"/>
    <w:rsid w:val="001669D8"/>
    <w:rsid w:val="00180B0E"/>
    <w:rsid w:val="001821AD"/>
    <w:rsid w:val="001847AD"/>
    <w:rsid w:val="001853C0"/>
    <w:rsid w:val="00185D3B"/>
    <w:rsid w:val="00186B3A"/>
    <w:rsid w:val="00193F1B"/>
    <w:rsid w:val="0019602B"/>
    <w:rsid w:val="0019707E"/>
    <w:rsid w:val="001A2860"/>
    <w:rsid w:val="001A3792"/>
    <w:rsid w:val="001B0A1B"/>
    <w:rsid w:val="001B59B6"/>
    <w:rsid w:val="001B60B9"/>
    <w:rsid w:val="001B6318"/>
    <w:rsid w:val="001B705B"/>
    <w:rsid w:val="001B70AA"/>
    <w:rsid w:val="001C0CDD"/>
    <w:rsid w:val="001C2AB8"/>
    <w:rsid w:val="001C35BA"/>
    <w:rsid w:val="001C5B7E"/>
    <w:rsid w:val="001C6A9E"/>
    <w:rsid w:val="001C7050"/>
    <w:rsid w:val="001D20D0"/>
    <w:rsid w:val="001D2144"/>
    <w:rsid w:val="001E6B23"/>
    <w:rsid w:val="001F1492"/>
    <w:rsid w:val="00203B99"/>
    <w:rsid w:val="002045AC"/>
    <w:rsid w:val="0020541A"/>
    <w:rsid w:val="00207705"/>
    <w:rsid w:val="0020795C"/>
    <w:rsid w:val="002110BD"/>
    <w:rsid w:val="002127CE"/>
    <w:rsid w:val="00212896"/>
    <w:rsid w:val="00216A43"/>
    <w:rsid w:val="00217797"/>
    <w:rsid w:val="00217F36"/>
    <w:rsid w:val="00222C12"/>
    <w:rsid w:val="0023690E"/>
    <w:rsid w:val="00240F31"/>
    <w:rsid w:val="0024245C"/>
    <w:rsid w:val="00256661"/>
    <w:rsid w:val="00256BF9"/>
    <w:rsid w:val="002626A4"/>
    <w:rsid w:val="00274116"/>
    <w:rsid w:val="00274AD2"/>
    <w:rsid w:val="00275C27"/>
    <w:rsid w:val="002862DE"/>
    <w:rsid w:val="00287EE4"/>
    <w:rsid w:val="002916FB"/>
    <w:rsid w:val="0029321D"/>
    <w:rsid w:val="00295B51"/>
    <w:rsid w:val="002A047F"/>
    <w:rsid w:val="002B02D9"/>
    <w:rsid w:val="002B05AA"/>
    <w:rsid w:val="002B077A"/>
    <w:rsid w:val="002B1FCC"/>
    <w:rsid w:val="002B6597"/>
    <w:rsid w:val="002B7B36"/>
    <w:rsid w:val="002C3B96"/>
    <w:rsid w:val="002C3DF7"/>
    <w:rsid w:val="002C42F0"/>
    <w:rsid w:val="002C55BE"/>
    <w:rsid w:val="002C58BB"/>
    <w:rsid w:val="002C751D"/>
    <w:rsid w:val="002C7956"/>
    <w:rsid w:val="002D26D0"/>
    <w:rsid w:val="002D4DE6"/>
    <w:rsid w:val="002E0464"/>
    <w:rsid w:val="002E31D3"/>
    <w:rsid w:val="002E6610"/>
    <w:rsid w:val="002F45A5"/>
    <w:rsid w:val="002F6C13"/>
    <w:rsid w:val="003009FC"/>
    <w:rsid w:val="00305D4D"/>
    <w:rsid w:val="003101CA"/>
    <w:rsid w:val="00310A80"/>
    <w:rsid w:val="00312986"/>
    <w:rsid w:val="00312E9C"/>
    <w:rsid w:val="0031596D"/>
    <w:rsid w:val="00327D47"/>
    <w:rsid w:val="003341A9"/>
    <w:rsid w:val="00334791"/>
    <w:rsid w:val="0033547F"/>
    <w:rsid w:val="003368F0"/>
    <w:rsid w:val="00336B9C"/>
    <w:rsid w:val="00336BCB"/>
    <w:rsid w:val="0034032F"/>
    <w:rsid w:val="0035117F"/>
    <w:rsid w:val="00357671"/>
    <w:rsid w:val="0036316A"/>
    <w:rsid w:val="003644E2"/>
    <w:rsid w:val="003646C9"/>
    <w:rsid w:val="00364B80"/>
    <w:rsid w:val="00364D0C"/>
    <w:rsid w:val="0036666C"/>
    <w:rsid w:val="00371FED"/>
    <w:rsid w:val="00373DC4"/>
    <w:rsid w:val="00375753"/>
    <w:rsid w:val="0037706A"/>
    <w:rsid w:val="0038008D"/>
    <w:rsid w:val="003803AA"/>
    <w:rsid w:val="00383A65"/>
    <w:rsid w:val="00384427"/>
    <w:rsid w:val="00386A5E"/>
    <w:rsid w:val="003907FD"/>
    <w:rsid w:val="0039252C"/>
    <w:rsid w:val="0039737B"/>
    <w:rsid w:val="003A3120"/>
    <w:rsid w:val="003B0EBA"/>
    <w:rsid w:val="003B1108"/>
    <w:rsid w:val="003B1308"/>
    <w:rsid w:val="003B60C6"/>
    <w:rsid w:val="003B67E9"/>
    <w:rsid w:val="003C36D4"/>
    <w:rsid w:val="003C3EB0"/>
    <w:rsid w:val="003D08F7"/>
    <w:rsid w:val="003D1980"/>
    <w:rsid w:val="003D230C"/>
    <w:rsid w:val="003D2952"/>
    <w:rsid w:val="003D58BE"/>
    <w:rsid w:val="003D59D1"/>
    <w:rsid w:val="003E0E5E"/>
    <w:rsid w:val="003E1C17"/>
    <w:rsid w:val="003E590F"/>
    <w:rsid w:val="003E6FF3"/>
    <w:rsid w:val="003F2732"/>
    <w:rsid w:val="003F3D1D"/>
    <w:rsid w:val="003F4B92"/>
    <w:rsid w:val="003F6601"/>
    <w:rsid w:val="00401A43"/>
    <w:rsid w:val="004058F4"/>
    <w:rsid w:val="00405C56"/>
    <w:rsid w:val="00407825"/>
    <w:rsid w:val="00410106"/>
    <w:rsid w:val="00412B90"/>
    <w:rsid w:val="0041515F"/>
    <w:rsid w:val="00427109"/>
    <w:rsid w:val="00427272"/>
    <w:rsid w:val="00431445"/>
    <w:rsid w:val="0043167D"/>
    <w:rsid w:val="004376E9"/>
    <w:rsid w:val="00440820"/>
    <w:rsid w:val="00440BCB"/>
    <w:rsid w:val="00442188"/>
    <w:rsid w:val="00443981"/>
    <w:rsid w:val="00446DE9"/>
    <w:rsid w:val="00451A61"/>
    <w:rsid w:val="00454479"/>
    <w:rsid w:val="00461C07"/>
    <w:rsid w:val="00461F7C"/>
    <w:rsid w:val="0046230F"/>
    <w:rsid w:val="004639A9"/>
    <w:rsid w:val="00471488"/>
    <w:rsid w:val="00471D45"/>
    <w:rsid w:val="00472663"/>
    <w:rsid w:val="00474EA9"/>
    <w:rsid w:val="0048193C"/>
    <w:rsid w:val="00482C7C"/>
    <w:rsid w:val="0048419E"/>
    <w:rsid w:val="0048422B"/>
    <w:rsid w:val="00486D7F"/>
    <w:rsid w:val="00493503"/>
    <w:rsid w:val="00493CFC"/>
    <w:rsid w:val="004A0893"/>
    <w:rsid w:val="004A29C7"/>
    <w:rsid w:val="004B2387"/>
    <w:rsid w:val="004C06AC"/>
    <w:rsid w:val="004C2461"/>
    <w:rsid w:val="004C257A"/>
    <w:rsid w:val="004C4E18"/>
    <w:rsid w:val="004C6A76"/>
    <w:rsid w:val="004C6F1C"/>
    <w:rsid w:val="004C6F52"/>
    <w:rsid w:val="004C7081"/>
    <w:rsid w:val="004D2FD7"/>
    <w:rsid w:val="004D7BB1"/>
    <w:rsid w:val="004E2C8D"/>
    <w:rsid w:val="004E41CC"/>
    <w:rsid w:val="004E5D8A"/>
    <w:rsid w:val="004F2454"/>
    <w:rsid w:val="004F3DA1"/>
    <w:rsid w:val="004F5A99"/>
    <w:rsid w:val="004F62E8"/>
    <w:rsid w:val="005025FF"/>
    <w:rsid w:val="0050373C"/>
    <w:rsid w:val="00513C94"/>
    <w:rsid w:val="00520241"/>
    <w:rsid w:val="005236E8"/>
    <w:rsid w:val="005262B0"/>
    <w:rsid w:val="00530DBD"/>
    <w:rsid w:val="0053187E"/>
    <w:rsid w:val="00531C88"/>
    <w:rsid w:val="005371EC"/>
    <w:rsid w:val="0054101C"/>
    <w:rsid w:val="00541E2F"/>
    <w:rsid w:val="005428B7"/>
    <w:rsid w:val="005455C8"/>
    <w:rsid w:val="005473FC"/>
    <w:rsid w:val="00547732"/>
    <w:rsid w:val="00554AAD"/>
    <w:rsid w:val="00556CC5"/>
    <w:rsid w:val="0055711C"/>
    <w:rsid w:val="0056345E"/>
    <w:rsid w:val="005641FA"/>
    <w:rsid w:val="005671C9"/>
    <w:rsid w:val="00573F7A"/>
    <w:rsid w:val="00577453"/>
    <w:rsid w:val="00577BC3"/>
    <w:rsid w:val="005823F9"/>
    <w:rsid w:val="005827C8"/>
    <w:rsid w:val="00582F7E"/>
    <w:rsid w:val="0058593E"/>
    <w:rsid w:val="00590A62"/>
    <w:rsid w:val="00591E5D"/>
    <w:rsid w:val="00595A0A"/>
    <w:rsid w:val="005B1346"/>
    <w:rsid w:val="005B78B1"/>
    <w:rsid w:val="005C1640"/>
    <w:rsid w:val="005C24D6"/>
    <w:rsid w:val="005C4F61"/>
    <w:rsid w:val="005C53B4"/>
    <w:rsid w:val="005C5FAB"/>
    <w:rsid w:val="005C6D3E"/>
    <w:rsid w:val="005D194B"/>
    <w:rsid w:val="005D2641"/>
    <w:rsid w:val="005D34BD"/>
    <w:rsid w:val="005D781C"/>
    <w:rsid w:val="005E15E6"/>
    <w:rsid w:val="005E1A5B"/>
    <w:rsid w:val="005F11A6"/>
    <w:rsid w:val="005F18DB"/>
    <w:rsid w:val="005F37DD"/>
    <w:rsid w:val="00600B2A"/>
    <w:rsid w:val="00601F96"/>
    <w:rsid w:val="006024EB"/>
    <w:rsid w:val="006030ED"/>
    <w:rsid w:val="00605617"/>
    <w:rsid w:val="00605B72"/>
    <w:rsid w:val="00634401"/>
    <w:rsid w:val="00637886"/>
    <w:rsid w:val="006400D7"/>
    <w:rsid w:val="00655D0E"/>
    <w:rsid w:val="00663114"/>
    <w:rsid w:val="006652AE"/>
    <w:rsid w:val="0067233C"/>
    <w:rsid w:val="00675F5A"/>
    <w:rsid w:val="00685F7B"/>
    <w:rsid w:val="00693EFA"/>
    <w:rsid w:val="00694757"/>
    <w:rsid w:val="00694E82"/>
    <w:rsid w:val="00696C5A"/>
    <w:rsid w:val="00696E22"/>
    <w:rsid w:val="006A4FAE"/>
    <w:rsid w:val="006A68C0"/>
    <w:rsid w:val="006B14B8"/>
    <w:rsid w:val="006B1CA4"/>
    <w:rsid w:val="006B1E3F"/>
    <w:rsid w:val="006B6A2C"/>
    <w:rsid w:val="006C0A56"/>
    <w:rsid w:val="006C0BA6"/>
    <w:rsid w:val="006C4987"/>
    <w:rsid w:val="006E0620"/>
    <w:rsid w:val="006F455A"/>
    <w:rsid w:val="006F4AFB"/>
    <w:rsid w:val="00703443"/>
    <w:rsid w:val="007037EC"/>
    <w:rsid w:val="007051E8"/>
    <w:rsid w:val="007122EA"/>
    <w:rsid w:val="00714034"/>
    <w:rsid w:val="00714A9C"/>
    <w:rsid w:val="0072211C"/>
    <w:rsid w:val="00724C6F"/>
    <w:rsid w:val="0072753A"/>
    <w:rsid w:val="00727814"/>
    <w:rsid w:val="00733628"/>
    <w:rsid w:val="007349AF"/>
    <w:rsid w:val="0073631D"/>
    <w:rsid w:val="007404A7"/>
    <w:rsid w:val="007406D4"/>
    <w:rsid w:val="0074575F"/>
    <w:rsid w:val="0075240F"/>
    <w:rsid w:val="00753EBF"/>
    <w:rsid w:val="007549CE"/>
    <w:rsid w:val="00755639"/>
    <w:rsid w:val="00760DD8"/>
    <w:rsid w:val="007659BC"/>
    <w:rsid w:val="00767675"/>
    <w:rsid w:val="00771435"/>
    <w:rsid w:val="00773104"/>
    <w:rsid w:val="00773146"/>
    <w:rsid w:val="007735EB"/>
    <w:rsid w:val="00781D7E"/>
    <w:rsid w:val="00782E28"/>
    <w:rsid w:val="0078435C"/>
    <w:rsid w:val="007875F0"/>
    <w:rsid w:val="007945E6"/>
    <w:rsid w:val="00794B48"/>
    <w:rsid w:val="00795512"/>
    <w:rsid w:val="00797929"/>
    <w:rsid w:val="007A2876"/>
    <w:rsid w:val="007A2EE1"/>
    <w:rsid w:val="007A44F7"/>
    <w:rsid w:val="007A4C91"/>
    <w:rsid w:val="007A5E1E"/>
    <w:rsid w:val="007B0C9F"/>
    <w:rsid w:val="007B3562"/>
    <w:rsid w:val="007C0B06"/>
    <w:rsid w:val="007C3063"/>
    <w:rsid w:val="007C3388"/>
    <w:rsid w:val="007C490E"/>
    <w:rsid w:val="007C5E67"/>
    <w:rsid w:val="007C6F9D"/>
    <w:rsid w:val="007D1091"/>
    <w:rsid w:val="007D1BBA"/>
    <w:rsid w:val="007D2AF7"/>
    <w:rsid w:val="007D618F"/>
    <w:rsid w:val="007D6DDE"/>
    <w:rsid w:val="007E02E9"/>
    <w:rsid w:val="007E03E8"/>
    <w:rsid w:val="007E70CA"/>
    <w:rsid w:val="007F0A97"/>
    <w:rsid w:val="007F19BA"/>
    <w:rsid w:val="008105C5"/>
    <w:rsid w:val="00813333"/>
    <w:rsid w:val="008208F6"/>
    <w:rsid w:val="00822FC4"/>
    <w:rsid w:val="00823447"/>
    <w:rsid w:val="00825C9C"/>
    <w:rsid w:val="008260FC"/>
    <w:rsid w:val="00832108"/>
    <w:rsid w:val="00832F40"/>
    <w:rsid w:val="00842469"/>
    <w:rsid w:val="00842DBA"/>
    <w:rsid w:val="00844CEA"/>
    <w:rsid w:val="00851775"/>
    <w:rsid w:val="00853A82"/>
    <w:rsid w:val="00854109"/>
    <w:rsid w:val="008552E2"/>
    <w:rsid w:val="00856479"/>
    <w:rsid w:val="0086281C"/>
    <w:rsid w:val="00866CFF"/>
    <w:rsid w:val="00866FD0"/>
    <w:rsid w:val="00867F16"/>
    <w:rsid w:val="00870030"/>
    <w:rsid w:val="008736A2"/>
    <w:rsid w:val="00873C3C"/>
    <w:rsid w:val="00875E57"/>
    <w:rsid w:val="008806A7"/>
    <w:rsid w:val="00881526"/>
    <w:rsid w:val="00886B9A"/>
    <w:rsid w:val="00887ADD"/>
    <w:rsid w:val="00891933"/>
    <w:rsid w:val="00892FE0"/>
    <w:rsid w:val="008943B6"/>
    <w:rsid w:val="00895C06"/>
    <w:rsid w:val="008A13AF"/>
    <w:rsid w:val="008A227C"/>
    <w:rsid w:val="008A74DE"/>
    <w:rsid w:val="008A7A0C"/>
    <w:rsid w:val="008B06CD"/>
    <w:rsid w:val="008B07E6"/>
    <w:rsid w:val="008B1880"/>
    <w:rsid w:val="008B292C"/>
    <w:rsid w:val="008C175C"/>
    <w:rsid w:val="008C3197"/>
    <w:rsid w:val="008C6E8D"/>
    <w:rsid w:val="008D05EE"/>
    <w:rsid w:val="008E0549"/>
    <w:rsid w:val="008E56EF"/>
    <w:rsid w:val="008E6472"/>
    <w:rsid w:val="008F01E6"/>
    <w:rsid w:val="008F0202"/>
    <w:rsid w:val="008F44D8"/>
    <w:rsid w:val="00900BD4"/>
    <w:rsid w:val="009114DA"/>
    <w:rsid w:val="00914F68"/>
    <w:rsid w:val="00920324"/>
    <w:rsid w:val="009210F3"/>
    <w:rsid w:val="00932D7E"/>
    <w:rsid w:val="0093585E"/>
    <w:rsid w:val="00941818"/>
    <w:rsid w:val="00946288"/>
    <w:rsid w:val="00953830"/>
    <w:rsid w:val="00953EF6"/>
    <w:rsid w:val="00954051"/>
    <w:rsid w:val="009559A9"/>
    <w:rsid w:val="00957B6A"/>
    <w:rsid w:val="00971BFF"/>
    <w:rsid w:val="00972132"/>
    <w:rsid w:val="00972576"/>
    <w:rsid w:val="00973174"/>
    <w:rsid w:val="009766F8"/>
    <w:rsid w:val="00983553"/>
    <w:rsid w:val="0098529F"/>
    <w:rsid w:val="00987042"/>
    <w:rsid w:val="00990792"/>
    <w:rsid w:val="009908CB"/>
    <w:rsid w:val="00992638"/>
    <w:rsid w:val="009939B4"/>
    <w:rsid w:val="009956FC"/>
    <w:rsid w:val="00995E2E"/>
    <w:rsid w:val="009A0F5D"/>
    <w:rsid w:val="009A748E"/>
    <w:rsid w:val="009B0FE5"/>
    <w:rsid w:val="009B1BFF"/>
    <w:rsid w:val="009B4DCA"/>
    <w:rsid w:val="009B7483"/>
    <w:rsid w:val="009B77B3"/>
    <w:rsid w:val="009D05ED"/>
    <w:rsid w:val="009D1C41"/>
    <w:rsid w:val="009D348D"/>
    <w:rsid w:val="009E2FC4"/>
    <w:rsid w:val="009F329C"/>
    <w:rsid w:val="009F63E6"/>
    <w:rsid w:val="009F6AAC"/>
    <w:rsid w:val="00A00136"/>
    <w:rsid w:val="00A037F3"/>
    <w:rsid w:val="00A13D98"/>
    <w:rsid w:val="00A159F3"/>
    <w:rsid w:val="00A1749D"/>
    <w:rsid w:val="00A2393A"/>
    <w:rsid w:val="00A2543E"/>
    <w:rsid w:val="00A25F08"/>
    <w:rsid w:val="00A26BAA"/>
    <w:rsid w:val="00A26F64"/>
    <w:rsid w:val="00A27EAA"/>
    <w:rsid w:val="00A37488"/>
    <w:rsid w:val="00A37DF1"/>
    <w:rsid w:val="00A43274"/>
    <w:rsid w:val="00A475E0"/>
    <w:rsid w:val="00A47B77"/>
    <w:rsid w:val="00A5066A"/>
    <w:rsid w:val="00A517B1"/>
    <w:rsid w:val="00A52266"/>
    <w:rsid w:val="00A52B83"/>
    <w:rsid w:val="00A52D97"/>
    <w:rsid w:val="00A55FDC"/>
    <w:rsid w:val="00A649F2"/>
    <w:rsid w:val="00A719A9"/>
    <w:rsid w:val="00A720FD"/>
    <w:rsid w:val="00A73FB6"/>
    <w:rsid w:val="00A818D4"/>
    <w:rsid w:val="00A82FA0"/>
    <w:rsid w:val="00A83A50"/>
    <w:rsid w:val="00A874E7"/>
    <w:rsid w:val="00A94ACC"/>
    <w:rsid w:val="00A951FC"/>
    <w:rsid w:val="00A973C5"/>
    <w:rsid w:val="00AA031F"/>
    <w:rsid w:val="00AA3428"/>
    <w:rsid w:val="00AB016E"/>
    <w:rsid w:val="00AB34F7"/>
    <w:rsid w:val="00AB39B3"/>
    <w:rsid w:val="00AB608A"/>
    <w:rsid w:val="00AB6543"/>
    <w:rsid w:val="00AB75DC"/>
    <w:rsid w:val="00AC293F"/>
    <w:rsid w:val="00AC33C3"/>
    <w:rsid w:val="00AC7C7B"/>
    <w:rsid w:val="00AD623D"/>
    <w:rsid w:val="00AE27A8"/>
    <w:rsid w:val="00AE75CE"/>
    <w:rsid w:val="00AF2D1E"/>
    <w:rsid w:val="00AF3165"/>
    <w:rsid w:val="00B03D1E"/>
    <w:rsid w:val="00B04392"/>
    <w:rsid w:val="00B07BF7"/>
    <w:rsid w:val="00B10BC0"/>
    <w:rsid w:val="00B1212B"/>
    <w:rsid w:val="00B125B3"/>
    <w:rsid w:val="00B13320"/>
    <w:rsid w:val="00B2141D"/>
    <w:rsid w:val="00B27FE3"/>
    <w:rsid w:val="00B3486B"/>
    <w:rsid w:val="00B34B4A"/>
    <w:rsid w:val="00B367F9"/>
    <w:rsid w:val="00B42053"/>
    <w:rsid w:val="00B44005"/>
    <w:rsid w:val="00B54603"/>
    <w:rsid w:val="00B574C0"/>
    <w:rsid w:val="00B6088F"/>
    <w:rsid w:val="00B60E19"/>
    <w:rsid w:val="00B664CE"/>
    <w:rsid w:val="00B67C3F"/>
    <w:rsid w:val="00B743CD"/>
    <w:rsid w:val="00B76690"/>
    <w:rsid w:val="00B8186C"/>
    <w:rsid w:val="00B8301E"/>
    <w:rsid w:val="00B85651"/>
    <w:rsid w:val="00B85783"/>
    <w:rsid w:val="00B8743F"/>
    <w:rsid w:val="00B903CE"/>
    <w:rsid w:val="00B90D11"/>
    <w:rsid w:val="00B920B8"/>
    <w:rsid w:val="00B92E57"/>
    <w:rsid w:val="00B930EE"/>
    <w:rsid w:val="00B95301"/>
    <w:rsid w:val="00B97087"/>
    <w:rsid w:val="00BA17F9"/>
    <w:rsid w:val="00BA1E76"/>
    <w:rsid w:val="00BA48E7"/>
    <w:rsid w:val="00BB6263"/>
    <w:rsid w:val="00BD2632"/>
    <w:rsid w:val="00BD5B77"/>
    <w:rsid w:val="00BD7133"/>
    <w:rsid w:val="00BD791F"/>
    <w:rsid w:val="00C2007E"/>
    <w:rsid w:val="00C20A11"/>
    <w:rsid w:val="00C20D6E"/>
    <w:rsid w:val="00C303C9"/>
    <w:rsid w:val="00C30A5C"/>
    <w:rsid w:val="00C400B5"/>
    <w:rsid w:val="00C41AE8"/>
    <w:rsid w:val="00C41E4B"/>
    <w:rsid w:val="00C42805"/>
    <w:rsid w:val="00C50480"/>
    <w:rsid w:val="00C50E95"/>
    <w:rsid w:val="00C51B12"/>
    <w:rsid w:val="00C521CD"/>
    <w:rsid w:val="00C536B0"/>
    <w:rsid w:val="00C566BB"/>
    <w:rsid w:val="00C604E3"/>
    <w:rsid w:val="00C61230"/>
    <w:rsid w:val="00C61E44"/>
    <w:rsid w:val="00C631C0"/>
    <w:rsid w:val="00C635D7"/>
    <w:rsid w:val="00C66C5B"/>
    <w:rsid w:val="00C671D2"/>
    <w:rsid w:val="00C71D56"/>
    <w:rsid w:val="00C72DA6"/>
    <w:rsid w:val="00C82EA6"/>
    <w:rsid w:val="00C84269"/>
    <w:rsid w:val="00C8566C"/>
    <w:rsid w:val="00C86031"/>
    <w:rsid w:val="00C93171"/>
    <w:rsid w:val="00C951EB"/>
    <w:rsid w:val="00CA3732"/>
    <w:rsid w:val="00CA4994"/>
    <w:rsid w:val="00CA63BF"/>
    <w:rsid w:val="00CA71F8"/>
    <w:rsid w:val="00CA7F5D"/>
    <w:rsid w:val="00CB2A3D"/>
    <w:rsid w:val="00CB6D47"/>
    <w:rsid w:val="00CB7F8D"/>
    <w:rsid w:val="00CC0EA9"/>
    <w:rsid w:val="00CC1459"/>
    <w:rsid w:val="00CC1D5C"/>
    <w:rsid w:val="00CC4E15"/>
    <w:rsid w:val="00CC6FF6"/>
    <w:rsid w:val="00CD2A4C"/>
    <w:rsid w:val="00CD3BC2"/>
    <w:rsid w:val="00CE55F9"/>
    <w:rsid w:val="00CE562A"/>
    <w:rsid w:val="00CE72F8"/>
    <w:rsid w:val="00CF02C9"/>
    <w:rsid w:val="00CF0442"/>
    <w:rsid w:val="00CF1AA3"/>
    <w:rsid w:val="00CF2347"/>
    <w:rsid w:val="00CF5FE0"/>
    <w:rsid w:val="00D010AC"/>
    <w:rsid w:val="00D060B6"/>
    <w:rsid w:val="00D14E3B"/>
    <w:rsid w:val="00D23109"/>
    <w:rsid w:val="00D2623D"/>
    <w:rsid w:val="00D27F5C"/>
    <w:rsid w:val="00D303B6"/>
    <w:rsid w:val="00D31968"/>
    <w:rsid w:val="00D330CC"/>
    <w:rsid w:val="00D34D3E"/>
    <w:rsid w:val="00D363D2"/>
    <w:rsid w:val="00D40EEA"/>
    <w:rsid w:val="00D41566"/>
    <w:rsid w:val="00D43B88"/>
    <w:rsid w:val="00D507F3"/>
    <w:rsid w:val="00D556FD"/>
    <w:rsid w:val="00D559C7"/>
    <w:rsid w:val="00D61FA3"/>
    <w:rsid w:val="00D62D9E"/>
    <w:rsid w:val="00D64A69"/>
    <w:rsid w:val="00D6500F"/>
    <w:rsid w:val="00D7295E"/>
    <w:rsid w:val="00D72DDD"/>
    <w:rsid w:val="00D85EC9"/>
    <w:rsid w:val="00D87CEA"/>
    <w:rsid w:val="00D95F7B"/>
    <w:rsid w:val="00D96651"/>
    <w:rsid w:val="00DA16B2"/>
    <w:rsid w:val="00DA16CE"/>
    <w:rsid w:val="00DA4189"/>
    <w:rsid w:val="00DB2526"/>
    <w:rsid w:val="00DB3DF1"/>
    <w:rsid w:val="00DB5093"/>
    <w:rsid w:val="00DB7914"/>
    <w:rsid w:val="00DC0886"/>
    <w:rsid w:val="00DD39BC"/>
    <w:rsid w:val="00DD4BCB"/>
    <w:rsid w:val="00DD6DEF"/>
    <w:rsid w:val="00DD721D"/>
    <w:rsid w:val="00DE28FE"/>
    <w:rsid w:val="00DE3DEC"/>
    <w:rsid w:val="00DE4AA3"/>
    <w:rsid w:val="00DE6C2C"/>
    <w:rsid w:val="00DF1026"/>
    <w:rsid w:val="00DF1D76"/>
    <w:rsid w:val="00DF1DB2"/>
    <w:rsid w:val="00DF21E5"/>
    <w:rsid w:val="00DF36D5"/>
    <w:rsid w:val="00DF6949"/>
    <w:rsid w:val="00E007E4"/>
    <w:rsid w:val="00E01EEC"/>
    <w:rsid w:val="00E02D13"/>
    <w:rsid w:val="00E02F50"/>
    <w:rsid w:val="00E0306A"/>
    <w:rsid w:val="00E03A66"/>
    <w:rsid w:val="00E0518E"/>
    <w:rsid w:val="00E052DA"/>
    <w:rsid w:val="00E07CE9"/>
    <w:rsid w:val="00E1459E"/>
    <w:rsid w:val="00E21119"/>
    <w:rsid w:val="00E269B4"/>
    <w:rsid w:val="00E31614"/>
    <w:rsid w:val="00E43DC8"/>
    <w:rsid w:val="00E45AF9"/>
    <w:rsid w:val="00E47B4C"/>
    <w:rsid w:val="00E50368"/>
    <w:rsid w:val="00E50BD0"/>
    <w:rsid w:val="00E53A8F"/>
    <w:rsid w:val="00E54322"/>
    <w:rsid w:val="00E5636F"/>
    <w:rsid w:val="00E60F46"/>
    <w:rsid w:val="00E65C3D"/>
    <w:rsid w:val="00E65E60"/>
    <w:rsid w:val="00E759DF"/>
    <w:rsid w:val="00E75D21"/>
    <w:rsid w:val="00E76CC6"/>
    <w:rsid w:val="00E94827"/>
    <w:rsid w:val="00EA6C95"/>
    <w:rsid w:val="00EA7B8B"/>
    <w:rsid w:val="00EB2569"/>
    <w:rsid w:val="00EB7177"/>
    <w:rsid w:val="00EB79B0"/>
    <w:rsid w:val="00EC30B9"/>
    <w:rsid w:val="00ED0349"/>
    <w:rsid w:val="00ED05A3"/>
    <w:rsid w:val="00ED12CF"/>
    <w:rsid w:val="00ED6395"/>
    <w:rsid w:val="00ED7E65"/>
    <w:rsid w:val="00EE1C3C"/>
    <w:rsid w:val="00EF131E"/>
    <w:rsid w:val="00EF190A"/>
    <w:rsid w:val="00EF7863"/>
    <w:rsid w:val="00EF7979"/>
    <w:rsid w:val="00F01A31"/>
    <w:rsid w:val="00F027F4"/>
    <w:rsid w:val="00F0358F"/>
    <w:rsid w:val="00F036E5"/>
    <w:rsid w:val="00F0788D"/>
    <w:rsid w:val="00F1054C"/>
    <w:rsid w:val="00F12A46"/>
    <w:rsid w:val="00F137AE"/>
    <w:rsid w:val="00F13D74"/>
    <w:rsid w:val="00F16C7F"/>
    <w:rsid w:val="00F23835"/>
    <w:rsid w:val="00F23D7E"/>
    <w:rsid w:val="00F2450E"/>
    <w:rsid w:val="00F24F09"/>
    <w:rsid w:val="00F25A73"/>
    <w:rsid w:val="00F26E4F"/>
    <w:rsid w:val="00F27160"/>
    <w:rsid w:val="00F30937"/>
    <w:rsid w:val="00F328AF"/>
    <w:rsid w:val="00F32B61"/>
    <w:rsid w:val="00F41D02"/>
    <w:rsid w:val="00F47319"/>
    <w:rsid w:val="00F61BAF"/>
    <w:rsid w:val="00F61EE8"/>
    <w:rsid w:val="00F64305"/>
    <w:rsid w:val="00F7146B"/>
    <w:rsid w:val="00F71C5B"/>
    <w:rsid w:val="00F81F7F"/>
    <w:rsid w:val="00F820BF"/>
    <w:rsid w:val="00F83646"/>
    <w:rsid w:val="00F91B4A"/>
    <w:rsid w:val="00F92C1A"/>
    <w:rsid w:val="00F961A9"/>
    <w:rsid w:val="00F97B9A"/>
    <w:rsid w:val="00FA133A"/>
    <w:rsid w:val="00FB17F4"/>
    <w:rsid w:val="00FB2F34"/>
    <w:rsid w:val="00FB735A"/>
    <w:rsid w:val="00FC16F1"/>
    <w:rsid w:val="00FC48A1"/>
    <w:rsid w:val="00FC6DEE"/>
    <w:rsid w:val="00FD2732"/>
    <w:rsid w:val="00FD34E6"/>
    <w:rsid w:val="00FE3E2E"/>
    <w:rsid w:val="00FF3B83"/>
    <w:rsid w:val="00FF4D82"/>
    <w:rsid w:val="00FF5EE7"/>
    <w:rsid w:val="094C1D4E"/>
    <w:rsid w:val="2DBB6E98"/>
    <w:rsid w:val="4C5404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20EE2"/>
  <w15:docId w15:val="{E0EA1A9C-9A4E-4F0D-82AF-6DFC8629B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nhideWhenUsed="1"/>
    <w:lsdException w:name="annotation text"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2">
    <w:name w:val="heading 2"/>
    <w:basedOn w:val="a"/>
    <w:next w:val="a0"/>
    <w:link w:val="2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7">
    <w:name w:val="toc 7"/>
    <w:basedOn w:val="a"/>
    <w:next w:val="a"/>
    <w:semiHidden/>
    <w:qFormat/>
    <w:pPr>
      <w:ind w:leftChars="1200" w:left="2520"/>
    </w:pPr>
  </w:style>
  <w:style w:type="paragraph" w:styleId="a4">
    <w:name w:val="Document Map"/>
    <w:basedOn w:val="a"/>
    <w:link w:val="a5"/>
    <w:uiPriority w:val="99"/>
    <w:semiHidden/>
    <w:unhideWhenUsed/>
    <w:rPr>
      <w:rFonts w:ascii="宋体"/>
      <w:sz w:val="18"/>
      <w:szCs w:val="18"/>
    </w:rPr>
  </w:style>
  <w:style w:type="paragraph" w:styleId="a6">
    <w:name w:val="annotation text"/>
    <w:basedOn w:val="a"/>
    <w:link w:val="a7"/>
    <w:uiPriority w:val="99"/>
    <w:qFormat/>
    <w:pPr>
      <w:jc w:val="left"/>
    </w:pPr>
  </w:style>
  <w:style w:type="paragraph" w:styleId="a8">
    <w:name w:val="Body Text"/>
    <w:basedOn w:val="a"/>
    <w:link w:val="a9"/>
    <w:qFormat/>
    <w:pPr>
      <w:spacing w:line="360" w:lineRule="auto"/>
    </w:pPr>
    <w:rPr>
      <w:rFonts w:ascii="仿宋_GB2312" w:eastAsia="仿宋_GB2312"/>
      <w:color w:val="000000"/>
      <w:kern w:val="0"/>
      <w:sz w:val="24"/>
      <w:szCs w:val="28"/>
    </w:rPr>
  </w:style>
  <w:style w:type="paragraph" w:styleId="aa">
    <w:name w:val="Body Text Indent"/>
    <w:basedOn w:val="a"/>
    <w:link w:val="ab"/>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1">
    <w:name w:val="Body Text Indent 2"/>
    <w:basedOn w:val="a"/>
    <w:link w:val="22"/>
    <w:qFormat/>
    <w:pPr>
      <w:spacing w:line="360" w:lineRule="auto"/>
      <w:ind w:firstLine="525"/>
    </w:pPr>
    <w:rPr>
      <w:rFonts w:ascii="宋体" w:hAnsi="宋体"/>
      <w:sz w:val="28"/>
      <w:szCs w:val="20"/>
    </w:rPr>
  </w:style>
  <w:style w:type="paragraph" w:styleId="ac">
    <w:name w:val="Balloon Text"/>
    <w:basedOn w:val="a"/>
    <w:link w:val="ad"/>
    <w:semiHidden/>
    <w:rPr>
      <w:sz w:val="18"/>
      <w:szCs w:val="18"/>
    </w:rPr>
  </w:style>
  <w:style w:type="paragraph" w:styleId="ae">
    <w:name w:val="footer"/>
    <w:basedOn w:val="a"/>
    <w:link w:val="af"/>
    <w:unhideWhenUsed/>
    <w:qFormat/>
    <w:pPr>
      <w:tabs>
        <w:tab w:val="center" w:pos="4153"/>
        <w:tab w:val="right" w:pos="8306"/>
      </w:tabs>
      <w:snapToGrid w:val="0"/>
      <w:jc w:val="left"/>
    </w:pPr>
    <w:rPr>
      <w:sz w:val="18"/>
      <w:szCs w:val="18"/>
    </w:rPr>
  </w:style>
  <w:style w:type="paragraph" w:styleId="af0">
    <w:name w:val="header"/>
    <w:basedOn w:val="a"/>
    <w:link w:val="af1"/>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link w:val="31"/>
    <w:qFormat/>
    <w:pPr>
      <w:adjustRightInd w:val="0"/>
      <w:snapToGrid w:val="0"/>
      <w:ind w:firstLineChars="200" w:firstLine="480"/>
    </w:pPr>
    <w:rPr>
      <w:rFonts w:ascii="仿宋_GB2312" w:eastAsia="仿宋_GB2312" w:hAnsi="宋体" w:cs="Arial"/>
      <w:color w:val="000000"/>
      <w:sz w:val="24"/>
    </w:rPr>
  </w:style>
  <w:style w:type="paragraph" w:styleId="23">
    <w:name w:val="toc 2"/>
    <w:basedOn w:val="a"/>
    <w:next w:val="a"/>
    <w:uiPriority w:val="39"/>
    <w:qFormat/>
    <w:pPr>
      <w:ind w:leftChars="200" w:left="420"/>
    </w:pPr>
  </w:style>
  <w:style w:type="paragraph" w:styleId="9">
    <w:name w:val="toc 9"/>
    <w:basedOn w:val="a"/>
    <w:next w:val="a"/>
    <w:semiHidden/>
    <w:qFormat/>
    <w:pPr>
      <w:ind w:leftChars="1600" w:left="3360"/>
    </w:p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2">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3">
    <w:name w:val="annotation subject"/>
    <w:basedOn w:val="a6"/>
    <w:next w:val="a6"/>
    <w:link w:val="af4"/>
    <w:qFormat/>
    <w:rPr>
      <w:b/>
      <w:bCs/>
    </w:rPr>
  </w:style>
  <w:style w:type="character" w:styleId="af5">
    <w:name w:val="Strong"/>
    <w:qFormat/>
    <w:rPr>
      <w:b/>
      <w:bCs/>
    </w:rPr>
  </w:style>
  <w:style w:type="character" w:styleId="af6">
    <w:name w:val="page number"/>
    <w:basedOn w:val="a1"/>
    <w:qFormat/>
  </w:style>
  <w:style w:type="character" w:styleId="af7">
    <w:name w:val="FollowedHyperlink"/>
    <w:basedOn w:val="a1"/>
    <w:uiPriority w:val="99"/>
    <w:semiHidden/>
    <w:unhideWhenUsed/>
    <w:rPr>
      <w:color w:val="800080" w:themeColor="followedHyperlink"/>
      <w:u w:val="single"/>
    </w:rPr>
  </w:style>
  <w:style w:type="character" w:styleId="af8">
    <w:name w:val="Hyperlink"/>
    <w:uiPriority w:val="99"/>
    <w:qFormat/>
    <w:rPr>
      <w:color w:val="0000FF"/>
      <w:u w:val="single"/>
    </w:rPr>
  </w:style>
  <w:style w:type="character" w:styleId="af9">
    <w:name w:val="annotation reference"/>
    <w:qFormat/>
    <w:rPr>
      <w:sz w:val="21"/>
      <w:szCs w:val="21"/>
    </w:rPr>
  </w:style>
  <w:style w:type="character" w:customStyle="1" w:styleId="af1">
    <w:name w:val="页眉 字符"/>
    <w:basedOn w:val="a1"/>
    <w:link w:val="af0"/>
    <w:uiPriority w:val="99"/>
    <w:qFormat/>
    <w:rPr>
      <w:sz w:val="18"/>
      <w:szCs w:val="18"/>
    </w:rPr>
  </w:style>
  <w:style w:type="character" w:customStyle="1" w:styleId="af">
    <w:name w:val="页脚 字符"/>
    <w:basedOn w:val="a1"/>
    <w:link w:val="ae"/>
    <w:uiPriority w:val="99"/>
    <w:qFormat/>
    <w:rPr>
      <w:sz w:val="18"/>
      <w:szCs w:val="18"/>
    </w:rPr>
  </w:style>
  <w:style w:type="character" w:customStyle="1" w:styleId="20">
    <w:name w:val="标题 2 字符"/>
    <w:basedOn w:val="a1"/>
    <w:link w:val="2"/>
    <w:qFormat/>
    <w:rPr>
      <w:rFonts w:ascii="Arial" w:eastAsia="黑体" w:hAnsi="Arial" w:cs="Times New Roman"/>
      <w:b/>
      <w:sz w:val="32"/>
      <w:szCs w:val="20"/>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a9">
    <w:name w:val="正文文本 字符"/>
    <w:basedOn w:val="a1"/>
    <w:link w:val="a8"/>
    <w:qFormat/>
    <w:rPr>
      <w:rFonts w:ascii="仿宋_GB2312" w:eastAsia="仿宋_GB2312" w:hAnsi="Times New Roman" w:cs="Times New Roman"/>
      <w:color w:val="000000"/>
      <w:kern w:val="0"/>
      <w:sz w:val="24"/>
      <w:szCs w:val="28"/>
    </w:rPr>
  </w:style>
  <w:style w:type="character" w:customStyle="1" w:styleId="read">
    <w:name w:val="read"/>
    <w:basedOn w:val="a1"/>
    <w:qFormat/>
  </w:style>
  <w:style w:type="character" w:customStyle="1" w:styleId="ab">
    <w:name w:val="正文文本缩进 字符"/>
    <w:basedOn w:val="a1"/>
    <w:link w:val="aa"/>
    <w:qFormat/>
    <w:rPr>
      <w:rFonts w:ascii="Times New Roman" w:eastAsia="方正仿宋简体" w:hAnsi="Times New Roman" w:cs="Times New Roman"/>
      <w:sz w:val="24"/>
      <w:szCs w:val="30"/>
    </w:rPr>
  </w:style>
  <w:style w:type="character" w:customStyle="1" w:styleId="22">
    <w:name w:val="正文文本缩进 2 字符"/>
    <w:basedOn w:val="a1"/>
    <w:link w:val="21"/>
    <w:qFormat/>
    <w:rPr>
      <w:rFonts w:ascii="宋体" w:eastAsia="宋体" w:hAnsi="宋体" w:cs="Times New Roman"/>
      <w:sz w:val="28"/>
      <w:szCs w:val="20"/>
    </w:rPr>
  </w:style>
  <w:style w:type="character" w:customStyle="1" w:styleId="31">
    <w:name w:val="正文文本缩进 3 字符"/>
    <w:basedOn w:val="a1"/>
    <w:link w:val="30"/>
    <w:qFormat/>
    <w:rPr>
      <w:rFonts w:ascii="仿宋_GB2312" w:eastAsia="仿宋_GB2312" w:hAnsi="宋体" w:cs="Arial"/>
      <w:color w:val="000000"/>
      <w:sz w:val="24"/>
      <w:szCs w:val="24"/>
    </w:rPr>
  </w:style>
  <w:style w:type="character" w:customStyle="1" w:styleId="ad">
    <w:name w:val="批注框文本 字符"/>
    <w:basedOn w:val="a1"/>
    <w:link w:val="ac"/>
    <w:semiHidden/>
    <w:rPr>
      <w:rFonts w:ascii="Times New Roman" w:eastAsia="宋体" w:hAnsi="Times New Roman" w:cs="Times New Roman"/>
      <w:sz w:val="18"/>
      <w:szCs w:val="18"/>
    </w:rPr>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
    <w:name w:val="Char Char Char"/>
    <w:basedOn w:val="a"/>
    <w:qFormat/>
  </w:style>
  <w:style w:type="character" w:customStyle="1" w:styleId="a7">
    <w:name w:val="批注文字 字符"/>
    <w:basedOn w:val="a1"/>
    <w:link w:val="a6"/>
    <w:qFormat/>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qFormat/>
  </w:style>
  <w:style w:type="paragraph" w:customStyle="1" w:styleId="CharChar">
    <w:name w:val="Char Char"/>
    <w:basedOn w:val="a"/>
    <w:rPr>
      <w:szCs w:val="20"/>
    </w:rPr>
  </w:style>
  <w:style w:type="character" w:customStyle="1" w:styleId="HTML0">
    <w:name w:val="HTML 预设格式 字符"/>
    <w:basedOn w:val="a1"/>
    <w:link w:val="HTML"/>
    <w:uiPriority w:val="99"/>
    <w:rPr>
      <w:rFonts w:ascii="宋体" w:eastAsia="宋体" w:hAnsi="宋体" w:cs="宋体"/>
      <w:kern w:val="0"/>
      <w:sz w:val="24"/>
      <w:szCs w:val="24"/>
    </w:rPr>
  </w:style>
  <w:style w:type="character" w:customStyle="1" w:styleId="af4">
    <w:name w:val="批注主题 字符"/>
    <w:basedOn w:val="a7"/>
    <w:link w:val="af3"/>
    <w:qFormat/>
    <w:rPr>
      <w:rFonts w:ascii="Times New Roman" w:eastAsia="宋体" w:hAnsi="Times New Roman" w:cs="Times New Roman"/>
      <w:b/>
      <w:bCs/>
      <w:szCs w:val="24"/>
    </w:rPr>
  </w:style>
  <w:style w:type="paragraph" w:customStyle="1" w:styleId="Style47">
    <w:name w:val="_Style 47"/>
    <w:uiPriority w:val="99"/>
    <w:unhideWhenUsed/>
    <w:pPr>
      <w:widowControl w:val="0"/>
      <w:jc w:val="both"/>
    </w:pPr>
    <w:rPr>
      <w:rFonts w:ascii="Times New Roman" w:eastAsia="宋体" w:hAnsi="Times New Roman" w:cs="Times New Roman"/>
      <w:kern w:val="2"/>
      <w:sz w:val="21"/>
      <w:szCs w:val="24"/>
    </w:rPr>
  </w:style>
  <w:style w:type="paragraph" w:customStyle="1" w:styleId="10">
    <w:name w:val="修订1"/>
    <w:hidden/>
    <w:uiPriority w:val="99"/>
    <w:semiHidden/>
    <w:rPr>
      <w:rFonts w:ascii="Times New Roman" w:eastAsia="宋体" w:hAnsi="Times New Roman" w:cs="Times New Roman"/>
      <w:kern w:val="2"/>
      <w:sz w:val="21"/>
      <w:szCs w:val="24"/>
    </w:rPr>
  </w:style>
  <w:style w:type="character" w:customStyle="1" w:styleId="a5">
    <w:name w:val="文档结构图 字符"/>
    <w:basedOn w:val="a1"/>
    <w:link w:val="a4"/>
    <w:uiPriority w:val="99"/>
    <w:semiHidden/>
    <w:rPr>
      <w:rFonts w:ascii="宋体" w:eastAsia="宋体" w:hAnsi="Times New Roman" w:cs="Times New Roman"/>
      <w:sz w:val="18"/>
      <w:szCs w:val="18"/>
    </w:rPr>
  </w:style>
  <w:style w:type="character" w:customStyle="1" w:styleId="Char2">
    <w:name w:val="批注文字 Char2"/>
    <w:qFormat/>
    <w:rPr>
      <w:rFonts w:eastAsia="楷体_GB2312"/>
      <w:sz w:val="24"/>
    </w:rPr>
  </w:style>
  <w:style w:type="character" w:customStyle="1" w:styleId="cf01">
    <w:name w:val="cf01"/>
    <w:basedOn w:val="a1"/>
    <w:rPr>
      <w:rFonts w:ascii="Microsoft YaHei UI" w:eastAsia="Microsoft YaHei UI" w:hAnsi="Microsoft YaHei UI" w:hint="eastAsia"/>
      <w:color w:val="333333"/>
      <w:sz w:val="18"/>
      <w:szCs w:val="18"/>
    </w:rPr>
  </w:style>
  <w:style w:type="paragraph" w:styleId="afa">
    <w:name w:val="Revision"/>
    <w:hidden/>
    <w:uiPriority w:val="99"/>
    <w:unhideWhenUsed/>
    <w:rsid w:val="00CB6D47"/>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97902-51B0-47F7-B51E-A12DE58B9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44</Pages>
  <Words>5078</Words>
  <Characters>28950</Characters>
  <Application>Microsoft Office Word</Application>
  <DocSecurity>0</DocSecurity>
  <Lines>241</Lines>
  <Paragraphs>67</Paragraphs>
  <ScaleCrop>false</ScaleCrop>
  <Company>神州网信技术有限公司</Company>
  <LinksUpToDate>false</LinksUpToDate>
  <CharactersWithSpaces>33961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黄欣颖</dc:creator>
  <cp:lastModifiedBy>赖韵林</cp:lastModifiedBy>
  <cp:revision>15</cp:revision>
  <cp:lastPrinted>2025-04-07T03:03:00Z</cp:lastPrinted>
  <dcterms:created xsi:type="dcterms:W3CDTF">2025-02-21T07:24:00Z</dcterms:created>
  <dcterms:modified xsi:type="dcterms:W3CDTF">2025-04-07T03:03:00Z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1387547DD3F6482E86EBDFBD16AEAE86</vt:lpwstr>
  </property>
</Properties>
</file>